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56CD" w14:textId="77777777" w:rsidR="00E323A9" w:rsidRPr="009632DB" w:rsidRDefault="00E323A9" w:rsidP="00E323A9">
      <w:pPr>
        <w:rPr>
          <w:i/>
          <w:iCs/>
          <w:color w:val="7030A0"/>
        </w:rPr>
      </w:pPr>
      <w:r w:rsidRPr="009632DB">
        <w:rPr>
          <w:i/>
          <w:iCs/>
          <w:color w:val="7030A0"/>
        </w:rPr>
        <w:t xml:space="preserve">Below are recommendations for technical controls that your organisation should consider in relation to remote working and as appropriate to your business operations and practices.  </w:t>
      </w:r>
    </w:p>
    <w:p w14:paraId="695FF10E" w14:textId="77777777" w:rsidR="00E323A9" w:rsidRPr="009632DB" w:rsidRDefault="00E323A9" w:rsidP="00E323A9">
      <w:pPr>
        <w:rPr>
          <w:i/>
          <w:iCs/>
          <w:color w:val="7030A0"/>
        </w:rPr>
      </w:pPr>
    </w:p>
    <w:p w14:paraId="20AF8639" w14:textId="77777777" w:rsidR="00E323A9" w:rsidRPr="009632DB" w:rsidRDefault="00E323A9" w:rsidP="00E323A9">
      <w:pPr>
        <w:rPr>
          <w:i/>
          <w:iCs/>
          <w:color w:val="7030A0"/>
        </w:rPr>
      </w:pPr>
      <w:r w:rsidRPr="009632DB">
        <w:rPr>
          <w:i/>
          <w:iCs/>
          <w:color w:val="7030A0"/>
        </w:rPr>
        <w:t>You can use the below to note down where your organisation is with deploying each type of control and log any other comments that might be relevant.  For example, benefits to the b</w:t>
      </w:r>
      <w:r w:rsidR="00A02B1D" w:rsidRPr="009632DB">
        <w:rPr>
          <w:i/>
          <w:iCs/>
          <w:color w:val="7030A0"/>
        </w:rPr>
        <w:t xml:space="preserve">usiness objectives and concerns </w:t>
      </w:r>
      <w:r w:rsidRPr="009632DB">
        <w:rPr>
          <w:i/>
          <w:iCs/>
          <w:color w:val="7030A0"/>
        </w:rPr>
        <w:t>related to</w:t>
      </w:r>
      <w:r w:rsidR="00A02B1D" w:rsidRPr="009632DB">
        <w:rPr>
          <w:i/>
          <w:iCs/>
          <w:color w:val="7030A0"/>
        </w:rPr>
        <w:t xml:space="preserve"> the </w:t>
      </w:r>
      <w:r w:rsidR="009632DB" w:rsidRPr="009632DB">
        <w:rPr>
          <w:i/>
          <w:iCs/>
          <w:color w:val="7030A0"/>
        </w:rPr>
        <w:t xml:space="preserve">potential </w:t>
      </w:r>
      <w:r w:rsidR="00A02B1D" w:rsidRPr="009632DB">
        <w:rPr>
          <w:i/>
          <w:iCs/>
          <w:color w:val="7030A0"/>
        </w:rPr>
        <w:t xml:space="preserve">consequences of not </w:t>
      </w:r>
      <w:r w:rsidR="009632DB" w:rsidRPr="009632DB">
        <w:rPr>
          <w:i/>
          <w:iCs/>
          <w:color w:val="7030A0"/>
        </w:rPr>
        <w:t xml:space="preserve">putting a control in place </w:t>
      </w:r>
      <w:r w:rsidRPr="009632DB">
        <w:rPr>
          <w:i/>
          <w:iCs/>
          <w:color w:val="7030A0"/>
        </w:rPr>
        <w:t>could be noted</w:t>
      </w:r>
      <w:r w:rsidR="009632DB" w:rsidRPr="009632DB">
        <w:rPr>
          <w:i/>
          <w:iCs/>
          <w:color w:val="7030A0"/>
        </w:rPr>
        <w:t>,</w:t>
      </w:r>
      <w:r w:rsidRPr="009632DB">
        <w:rPr>
          <w:i/>
          <w:iCs/>
          <w:color w:val="7030A0"/>
        </w:rPr>
        <w:t xml:space="preserve"> and would be a useful inclusion in any business case for investment in such measures, to the board or senior management.</w:t>
      </w:r>
    </w:p>
    <w:p w14:paraId="08BCEDE9" w14:textId="77777777" w:rsidR="00E323A9" w:rsidRDefault="00E323A9" w:rsidP="00E323A9">
      <w:pPr>
        <w:rPr>
          <w:iCs/>
          <w:color w:val="000000" w:themeColor="text1"/>
        </w:rPr>
      </w:pPr>
    </w:p>
    <w:p w14:paraId="52FFB5C5" w14:textId="77777777" w:rsidR="00E323A9" w:rsidRDefault="00E323A9" w:rsidP="00E323A9">
      <w:pPr>
        <w:rPr>
          <w:iCs/>
          <w:color w:val="000000" w:themeColor="text1"/>
        </w:rPr>
      </w:pPr>
    </w:p>
    <w:tbl>
      <w:tblPr>
        <w:tblStyle w:val="TableGrid"/>
        <w:tblW w:w="10802" w:type="dxa"/>
        <w:tblInd w:w="-459" w:type="dxa"/>
        <w:tblLook w:val="04A0" w:firstRow="1" w:lastRow="0" w:firstColumn="1" w:lastColumn="0" w:noHBand="0" w:noVBand="1"/>
      </w:tblPr>
      <w:tblGrid>
        <w:gridCol w:w="1701"/>
        <w:gridCol w:w="5812"/>
        <w:gridCol w:w="992"/>
        <w:gridCol w:w="2297"/>
      </w:tblGrid>
      <w:tr w:rsidR="00E323A9" w:rsidRPr="007638CA" w14:paraId="3D748C63" w14:textId="77777777" w:rsidTr="007638CA">
        <w:tc>
          <w:tcPr>
            <w:tcW w:w="1701" w:type="dxa"/>
            <w:shd w:val="clear" w:color="auto" w:fill="00B0F0"/>
          </w:tcPr>
          <w:p w14:paraId="36ED3443" w14:textId="77777777" w:rsidR="00E323A9" w:rsidRPr="007638CA" w:rsidRDefault="00E323A9" w:rsidP="00A02B1D">
            <w:pPr>
              <w:rPr>
                <w:rFonts w:cs="Arial"/>
                <w:b/>
                <w:bCs/>
                <w:sz w:val="22"/>
                <w:szCs w:val="22"/>
              </w:rPr>
            </w:pPr>
            <w:r w:rsidRPr="007638CA">
              <w:rPr>
                <w:rFonts w:cs="Arial"/>
                <w:b/>
                <w:bCs/>
                <w:sz w:val="22"/>
                <w:szCs w:val="22"/>
              </w:rPr>
              <w:t>Technical Risk Control</w:t>
            </w:r>
          </w:p>
        </w:tc>
        <w:tc>
          <w:tcPr>
            <w:tcW w:w="5812" w:type="dxa"/>
            <w:shd w:val="clear" w:color="auto" w:fill="00B0F0"/>
          </w:tcPr>
          <w:p w14:paraId="44FAC52F" w14:textId="77777777" w:rsidR="00E323A9" w:rsidRPr="007638CA" w:rsidRDefault="00E323A9" w:rsidP="00A02B1D">
            <w:pPr>
              <w:rPr>
                <w:rFonts w:cs="Arial"/>
                <w:b/>
                <w:sz w:val="22"/>
                <w:szCs w:val="22"/>
              </w:rPr>
            </w:pPr>
            <w:r w:rsidRPr="007638CA">
              <w:rPr>
                <w:rFonts w:cs="Arial"/>
                <w:b/>
                <w:sz w:val="22"/>
                <w:szCs w:val="22"/>
              </w:rPr>
              <w:t>Guidance</w:t>
            </w:r>
          </w:p>
        </w:tc>
        <w:tc>
          <w:tcPr>
            <w:tcW w:w="992" w:type="dxa"/>
            <w:shd w:val="clear" w:color="auto" w:fill="00B0F0"/>
          </w:tcPr>
          <w:p w14:paraId="636B638E" w14:textId="77777777" w:rsidR="00E323A9" w:rsidRPr="007638CA" w:rsidRDefault="00E323A9" w:rsidP="00A02B1D">
            <w:pPr>
              <w:rPr>
                <w:rFonts w:cs="Arial"/>
                <w:b/>
                <w:sz w:val="22"/>
                <w:szCs w:val="22"/>
              </w:rPr>
            </w:pPr>
            <w:r w:rsidRPr="007638CA">
              <w:rPr>
                <w:rFonts w:cs="Arial"/>
                <w:b/>
                <w:sz w:val="22"/>
                <w:szCs w:val="22"/>
              </w:rPr>
              <w:t>Status</w:t>
            </w:r>
          </w:p>
        </w:tc>
        <w:tc>
          <w:tcPr>
            <w:tcW w:w="2297" w:type="dxa"/>
            <w:shd w:val="clear" w:color="auto" w:fill="00B0F0"/>
          </w:tcPr>
          <w:p w14:paraId="29D7235E" w14:textId="77777777" w:rsidR="00E323A9" w:rsidRPr="007638CA" w:rsidRDefault="00E323A9" w:rsidP="00A02B1D">
            <w:pPr>
              <w:rPr>
                <w:rFonts w:cs="Arial"/>
                <w:b/>
                <w:sz w:val="22"/>
                <w:szCs w:val="22"/>
              </w:rPr>
            </w:pPr>
            <w:r w:rsidRPr="007638CA">
              <w:rPr>
                <w:rFonts w:cs="Arial"/>
                <w:b/>
                <w:sz w:val="22"/>
                <w:szCs w:val="22"/>
              </w:rPr>
              <w:t>Comments</w:t>
            </w:r>
          </w:p>
        </w:tc>
      </w:tr>
      <w:tr w:rsidR="00E323A9" w:rsidRPr="0061282D" w14:paraId="238F701F" w14:textId="77777777" w:rsidTr="00E323A9">
        <w:tc>
          <w:tcPr>
            <w:tcW w:w="1701" w:type="dxa"/>
          </w:tcPr>
          <w:p w14:paraId="3B3A977E" w14:textId="77777777" w:rsidR="00E323A9" w:rsidRPr="0061282D" w:rsidRDefault="00C350DD" w:rsidP="00A02B1D">
            <w:pPr>
              <w:rPr>
                <w:rFonts w:cs="Arial"/>
                <w:iCs/>
                <w:color w:val="000000" w:themeColor="text1"/>
              </w:rPr>
            </w:pPr>
            <w:r w:rsidRPr="0061282D">
              <w:rPr>
                <w:rFonts w:cs="Arial"/>
                <w:b/>
              </w:rPr>
              <w:t>Virtual Private Network (VPN) A</w:t>
            </w:r>
            <w:r w:rsidR="00E323A9" w:rsidRPr="0061282D">
              <w:rPr>
                <w:rFonts w:cs="Arial"/>
                <w:b/>
              </w:rPr>
              <w:t>ccess</w:t>
            </w:r>
          </w:p>
        </w:tc>
        <w:tc>
          <w:tcPr>
            <w:tcW w:w="5812" w:type="dxa"/>
          </w:tcPr>
          <w:p w14:paraId="51D29B55" w14:textId="77777777" w:rsidR="00E323A9" w:rsidRPr="0061282D" w:rsidRDefault="00E323A9" w:rsidP="00A02B1D">
            <w:pPr>
              <w:rPr>
                <w:rFonts w:cs="Arial"/>
              </w:rPr>
            </w:pPr>
            <w:r w:rsidRPr="0061282D">
              <w:rPr>
                <w:rFonts w:cs="Arial"/>
              </w:rPr>
              <w:t xml:space="preserve">Where users are connecting via unsecured networks or using a device, PC or laptop that isn’t a company issued laptop dedicated to your organisations network, VPN is a critical control that should be employed as it encrypts data that is connected between the user’s pc or device and the organisation’s network.  </w:t>
            </w:r>
          </w:p>
          <w:p w14:paraId="179DEE90" w14:textId="77777777" w:rsidR="00E323A9" w:rsidRPr="0061282D" w:rsidRDefault="00E323A9" w:rsidP="00A02B1D">
            <w:pPr>
              <w:rPr>
                <w:rFonts w:cs="Arial"/>
                <w:iCs/>
                <w:color w:val="000000" w:themeColor="text1"/>
              </w:rPr>
            </w:pPr>
          </w:p>
        </w:tc>
        <w:tc>
          <w:tcPr>
            <w:tcW w:w="992" w:type="dxa"/>
          </w:tcPr>
          <w:p w14:paraId="20D5C642" w14:textId="77777777" w:rsidR="00E323A9" w:rsidRPr="0061282D" w:rsidRDefault="00E323A9" w:rsidP="00A02B1D">
            <w:pPr>
              <w:rPr>
                <w:rFonts w:cs="Arial"/>
              </w:rPr>
            </w:pPr>
          </w:p>
        </w:tc>
        <w:tc>
          <w:tcPr>
            <w:tcW w:w="2297" w:type="dxa"/>
          </w:tcPr>
          <w:p w14:paraId="44239171" w14:textId="77777777" w:rsidR="00E323A9" w:rsidRPr="0061282D" w:rsidRDefault="00E323A9" w:rsidP="00A02B1D">
            <w:pPr>
              <w:rPr>
                <w:rFonts w:cs="Arial"/>
              </w:rPr>
            </w:pPr>
          </w:p>
        </w:tc>
      </w:tr>
      <w:tr w:rsidR="000A1776" w:rsidRPr="0061282D" w14:paraId="0FEE34AE" w14:textId="77777777" w:rsidTr="000A1776">
        <w:tc>
          <w:tcPr>
            <w:tcW w:w="1701" w:type="dxa"/>
          </w:tcPr>
          <w:p w14:paraId="50CD2775" w14:textId="77777777" w:rsidR="000A1776" w:rsidRPr="0061282D" w:rsidRDefault="000A1776" w:rsidP="000A1776">
            <w:pPr>
              <w:spacing w:after="160" w:line="259" w:lineRule="auto"/>
              <w:contextualSpacing/>
              <w:rPr>
                <w:rFonts w:cs="Arial"/>
                <w:b/>
              </w:rPr>
            </w:pPr>
            <w:r w:rsidRPr="0061282D">
              <w:rPr>
                <w:rFonts w:cs="Arial"/>
                <w:b/>
              </w:rPr>
              <w:t>Multi Factor Authentication (MFA)</w:t>
            </w:r>
          </w:p>
        </w:tc>
        <w:tc>
          <w:tcPr>
            <w:tcW w:w="5812" w:type="dxa"/>
          </w:tcPr>
          <w:p w14:paraId="696F974E" w14:textId="77777777" w:rsidR="007638CA" w:rsidRDefault="000A1776" w:rsidP="000A1776">
            <w:pPr>
              <w:rPr>
                <w:rFonts w:cs="Arial"/>
                <w:iCs/>
                <w:color w:val="000000" w:themeColor="text1"/>
              </w:rPr>
            </w:pPr>
            <w:r w:rsidRPr="0061282D">
              <w:rPr>
                <w:rFonts w:cs="Arial"/>
                <w:iCs/>
                <w:color w:val="000000" w:themeColor="text1"/>
              </w:rPr>
              <w:t xml:space="preserve">Being able to approve the identity of the person (or device) trying to gain access to your company’s network or systems should be a priority when defending against those trying to gain unauthorised access.  </w:t>
            </w:r>
          </w:p>
          <w:p w14:paraId="790C8970" w14:textId="77777777" w:rsidR="007638CA" w:rsidRDefault="007638CA" w:rsidP="000A1776">
            <w:pPr>
              <w:rPr>
                <w:rFonts w:cs="Arial"/>
                <w:iCs/>
                <w:color w:val="000000" w:themeColor="text1"/>
              </w:rPr>
            </w:pPr>
          </w:p>
          <w:p w14:paraId="7101826C" w14:textId="77777777" w:rsidR="000A1776" w:rsidRPr="0061282D" w:rsidRDefault="000A1776" w:rsidP="000A1776">
            <w:pPr>
              <w:rPr>
                <w:rFonts w:cs="Arial"/>
                <w:iCs/>
                <w:color w:val="000000" w:themeColor="text1"/>
              </w:rPr>
            </w:pPr>
            <w:r w:rsidRPr="0061282D">
              <w:rPr>
                <w:rFonts w:cs="Arial"/>
                <w:iCs/>
                <w:color w:val="000000" w:themeColor="text1"/>
              </w:rPr>
              <w:t>It is important to implement controls that offer 2-factor or multiple layers of authentication – i.e. something you know (e.g. password); something you have (e.g. a security token); and something you are (e.g. a fingerprint).</w:t>
            </w:r>
          </w:p>
          <w:p w14:paraId="61F5696F" w14:textId="77777777" w:rsidR="000A1776" w:rsidRPr="0061282D" w:rsidRDefault="000A1776" w:rsidP="000A1776">
            <w:pPr>
              <w:rPr>
                <w:rFonts w:cs="Arial"/>
                <w:iCs/>
                <w:color w:val="000000" w:themeColor="text1"/>
              </w:rPr>
            </w:pPr>
          </w:p>
        </w:tc>
        <w:tc>
          <w:tcPr>
            <w:tcW w:w="992" w:type="dxa"/>
          </w:tcPr>
          <w:p w14:paraId="1EDABF70" w14:textId="77777777" w:rsidR="000A1776" w:rsidRPr="0061282D" w:rsidRDefault="000A1776" w:rsidP="000A1776">
            <w:pPr>
              <w:rPr>
                <w:rFonts w:cs="Arial"/>
                <w:iCs/>
                <w:color w:val="000000" w:themeColor="text1"/>
              </w:rPr>
            </w:pPr>
          </w:p>
        </w:tc>
        <w:tc>
          <w:tcPr>
            <w:tcW w:w="2297" w:type="dxa"/>
          </w:tcPr>
          <w:p w14:paraId="48EEE5AF" w14:textId="77777777" w:rsidR="000A1776" w:rsidRPr="0061282D" w:rsidRDefault="000A1776" w:rsidP="000A1776">
            <w:pPr>
              <w:rPr>
                <w:rFonts w:cs="Arial"/>
                <w:iCs/>
                <w:color w:val="000000" w:themeColor="text1"/>
              </w:rPr>
            </w:pPr>
          </w:p>
        </w:tc>
      </w:tr>
      <w:tr w:rsidR="007638CA" w:rsidRPr="0061282D" w14:paraId="228F09C0" w14:textId="77777777" w:rsidTr="00C13AC3">
        <w:trPr>
          <w:trHeight w:val="1534"/>
        </w:trPr>
        <w:tc>
          <w:tcPr>
            <w:tcW w:w="1701" w:type="dxa"/>
          </w:tcPr>
          <w:p w14:paraId="4067C357" w14:textId="77777777" w:rsidR="007638CA" w:rsidRDefault="007638CA" w:rsidP="00C13AC3">
            <w:pPr>
              <w:spacing w:after="160" w:line="259" w:lineRule="auto"/>
              <w:contextualSpacing/>
              <w:rPr>
                <w:rFonts w:cs="Arial"/>
                <w:b/>
              </w:rPr>
            </w:pPr>
            <w:r>
              <w:rPr>
                <w:rFonts w:cs="Arial"/>
                <w:b/>
              </w:rPr>
              <w:t xml:space="preserve">Using </w:t>
            </w:r>
          </w:p>
          <w:p w14:paraId="67BDA90F" w14:textId="77777777" w:rsidR="007638CA" w:rsidRPr="0061282D" w:rsidRDefault="007638CA" w:rsidP="00C13AC3">
            <w:pPr>
              <w:spacing w:after="160" w:line="259" w:lineRule="auto"/>
              <w:contextualSpacing/>
              <w:rPr>
                <w:rFonts w:cs="Arial"/>
                <w:b/>
              </w:rPr>
            </w:pPr>
            <w:r>
              <w:rPr>
                <w:rFonts w:cs="Arial"/>
                <w:b/>
              </w:rPr>
              <w:t>Up to Date Operating Systems</w:t>
            </w:r>
          </w:p>
        </w:tc>
        <w:tc>
          <w:tcPr>
            <w:tcW w:w="5812" w:type="dxa"/>
          </w:tcPr>
          <w:p w14:paraId="720B9716" w14:textId="77777777" w:rsidR="007638CA" w:rsidRDefault="007638CA" w:rsidP="00C13AC3">
            <w:r>
              <w:t>Ensure that all computers and devices being used to access work systems are operating on up-to-date supported operating systems.</w:t>
            </w:r>
          </w:p>
          <w:p w14:paraId="41B023BF" w14:textId="77777777" w:rsidR="007638CA" w:rsidRDefault="007638CA" w:rsidP="00C13AC3"/>
          <w:p w14:paraId="1D5840DD" w14:textId="77777777" w:rsidR="007638CA" w:rsidRPr="007638CA" w:rsidRDefault="007638CA" w:rsidP="00C13AC3">
            <w:r>
              <w:t>For example, as of January 2020, Windows7 is no longer supported, and computers using this operating system are more prone to cyber attack.  </w:t>
            </w:r>
          </w:p>
        </w:tc>
        <w:tc>
          <w:tcPr>
            <w:tcW w:w="992" w:type="dxa"/>
          </w:tcPr>
          <w:p w14:paraId="5DBD1608" w14:textId="77777777" w:rsidR="007638CA" w:rsidRPr="0061282D" w:rsidRDefault="007638CA" w:rsidP="00C13AC3">
            <w:pPr>
              <w:rPr>
                <w:rFonts w:cs="Arial"/>
                <w:iCs/>
                <w:color w:val="000000" w:themeColor="text1"/>
              </w:rPr>
            </w:pPr>
          </w:p>
        </w:tc>
        <w:tc>
          <w:tcPr>
            <w:tcW w:w="2297" w:type="dxa"/>
          </w:tcPr>
          <w:p w14:paraId="3A031024" w14:textId="77777777" w:rsidR="007638CA" w:rsidRPr="0061282D" w:rsidRDefault="007638CA" w:rsidP="00C13AC3">
            <w:pPr>
              <w:rPr>
                <w:rFonts w:cs="Arial"/>
                <w:iCs/>
                <w:color w:val="000000" w:themeColor="text1"/>
              </w:rPr>
            </w:pPr>
          </w:p>
        </w:tc>
      </w:tr>
      <w:tr w:rsidR="00E323A9" w:rsidRPr="0061282D" w14:paraId="1F69A29D" w14:textId="77777777" w:rsidTr="00E323A9">
        <w:tc>
          <w:tcPr>
            <w:tcW w:w="1701" w:type="dxa"/>
          </w:tcPr>
          <w:p w14:paraId="6475C7F7" w14:textId="77777777" w:rsidR="00E323A9" w:rsidRPr="0061282D" w:rsidRDefault="00E323A9" w:rsidP="00A02B1D">
            <w:pPr>
              <w:rPr>
                <w:rFonts w:cs="Arial"/>
                <w:iCs/>
                <w:color w:val="000000" w:themeColor="text1"/>
              </w:rPr>
            </w:pPr>
            <w:r w:rsidRPr="0061282D">
              <w:rPr>
                <w:rFonts w:cs="Arial"/>
                <w:b/>
              </w:rPr>
              <w:t>Network Encryption</w:t>
            </w:r>
          </w:p>
        </w:tc>
        <w:tc>
          <w:tcPr>
            <w:tcW w:w="5812" w:type="dxa"/>
          </w:tcPr>
          <w:p w14:paraId="158537EF" w14:textId="77777777" w:rsidR="00E323A9" w:rsidRPr="0061282D" w:rsidRDefault="00E323A9" w:rsidP="00A02B1D">
            <w:pPr>
              <w:spacing w:after="160" w:line="259" w:lineRule="auto"/>
              <w:contextualSpacing/>
              <w:rPr>
                <w:rFonts w:cs="Arial"/>
              </w:rPr>
            </w:pPr>
            <w:r w:rsidRPr="0061282D">
              <w:rPr>
                <w:rFonts w:cs="Arial"/>
              </w:rPr>
              <w:t xml:space="preserve">Information in transit should be appropriately encrypted.  Some protocols that could be deployed include </w:t>
            </w:r>
            <w:hyperlink r:id="rId7" w:history="1">
              <w:r w:rsidRPr="0061282D">
                <w:rPr>
                  <w:rStyle w:val="Hyperlink"/>
                  <w:rFonts w:cs="Arial"/>
                  <w:i/>
                  <w:color w:val="2B70B9"/>
                  <w:bdr w:val="none" w:sz="0" w:space="0" w:color="auto" w:frame="1"/>
                  <w:shd w:val="clear" w:color="auto" w:fill="FFFFFF"/>
                </w:rPr>
                <w:t>Using IPsec to Protect Data</w:t>
              </w:r>
            </w:hyperlink>
            <w:r w:rsidRPr="0061282D">
              <w:rPr>
                <w:rFonts w:cs="Arial"/>
                <w:i/>
                <w:color w:val="000000"/>
                <w:shd w:val="clear" w:color="auto" w:fill="FFFFFF"/>
              </w:rPr>
              <w:t> and </w:t>
            </w:r>
            <w:hyperlink r:id="rId8" w:history="1">
              <w:r w:rsidRPr="0061282D">
                <w:rPr>
                  <w:rStyle w:val="Hyperlink"/>
                  <w:rFonts w:cs="Arial"/>
                  <w:i/>
                  <w:color w:val="2B70B9"/>
                  <w:bdr w:val="none" w:sz="0" w:space="0" w:color="auto" w:frame="1"/>
                  <w:shd w:val="clear" w:color="auto" w:fill="FFFFFF"/>
                </w:rPr>
                <w:t>Using TLS to protect data</w:t>
              </w:r>
            </w:hyperlink>
            <w:r w:rsidRPr="0061282D">
              <w:rPr>
                <w:rFonts w:cs="Arial"/>
                <w:i/>
                <w:color w:val="000000"/>
                <w:shd w:val="clear" w:color="auto" w:fill="FFFFFF"/>
              </w:rPr>
              <w:t xml:space="preserve">. (NCSC).  </w:t>
            </w:r>
            <w:r w:rsidRPr="0061282D">
              <w:rPr>
                <w:rFonts w:cs="Arial"/>
              </w:rPr>
              <w:t>Staff should be educated on utilising the protocols with a clear policy and guidelines that can always be referenced easily.</w:t>
            </w:r>
          </w:p>
          <w:p w14:paraId="32BF8033" w14:textId="77777777" w:rsidR="00E323A9" w:rsidRPr="0061282D" w:rsidRDefault="00E323A9" w:rsidP="00A02B1D">
            <w:pPr>
              <w:spacing w:after="160" w:line="259" w:lineRule="auto"/>
              <w:contextualSpacing/>
              <w:rPr>
                <w:rFonts w:cs="Arial"/>
              </w:rPr>
            </w:pPr>
          </w:p>
        </w:tc>
        <w:tc>
          <w:tcPr>
            <w:tcW w:w="992" w:type="dxa"/>
          </w:tcPr>
          <w:p w14:paraId="77A5FD17" w14:textId="77777777" w:rsidR="00E323A9" w:rsidRPr="0061282D" w:rsidRDefault="00E323A9" w:rsidP="00A02B1D">
            <w:pPr>
              <w:rPr>
                <w:rFonts w:cs="Arial"/>
                <w:iCs/>
                <w:color w:val="000000" w:themeColor="text1"/>
              </w:rPr>
            </w:pPr>
          </w:p>
        </w:tc>
        <w:tc>
          <w:tcPr>
            <w:tcW w:w="2297" w:type="dxa"/>
          </w:tcPr>
          <w:p w14:paraId="35EB5005" w14:textId="77777777" w:rsidR="00E323A9" w:rsidRPr="0061282D" w:rsidRDefault="00E323A9" w:rsidP="00A02B1D">
            <w:pPr>
              <w:rPr>
                <w:rFonts w:cs="Arial"/>
                <w:iCs/>
                <w:color w:val="000000" w:themeColor="text1"/>
              </w:rPr>
            </w:pPr>
          </w:p>
        </w:tc>
      </w:tr>
      <w:tr w:rsidR="00E323A9" w:rsidRPr="0061282D" w14:paraId="3B3C264A" w14:textId="77777777" w:rsidTr="00E323A9">
        <w:tc>
          <w:tcPr>
            <w:tcW w:w="1701" w:type="dxa"/>
          </w:tcPr>
          <w:p w14:paraId="32902FDC" w14:textId="77777777" w:rsidR="00E323A9" w:rsidRPr="0061282D" w:rsidRDefault="00E323A9" w:rsidP="00A02B1D">
            <w:pPr>
              <w:rPr>
                <w:rFonts w:cs="Arial"/>
                <w:iCs/>
                <w:color w:val="000000" w:themeColor="text1"/>
              </w:rPr>
            </w:pPr>
            <w:r w:rsidRPr="0061282D">
              <w:rPr>
                <w:rFonts w:cs="Arial"/>
                <w:b/>
              </w:rPr>
              <w:t>Cloud Based Services</w:t>
            </w:r>
          </w:p>
        </w:tc>
        <w:tc>
          <w:tcPr>
            <w:tcW w:w="5812" w:type="dxa"/>
          </w:tcPr>
          <w:p w14:paraId="6088E80E" w14:textId="77777777" w:rsidR="000A1776" w:rsidRPr="0061282D" w:rsidRDefault="00E323A9" w:rsidP="00A02B1D">
            <w:pPr>
              <w:spacing w:after="160" w:line="259" w:lineRule="auto"/>
              <w:contextualSpacing/>
              <w:rPr>
                <w:rFonts w:cs="Arial"/>
              </w:rPr>
            </w:pPr>
            <w:r w:rsidRPr="0061282D">
              <w:rPr>
                <w:rFonts w:cs="Arial"/>
              </w:rPr>
              <w:t xml:space="preserve">Cloud software solutions are becoming popular and recommended to reduce risk as data in the cloud is encrypted and access can be controlled by your security team/management.  Use secure cloud-based solutions and educate staff to save data on these rather than on devices such as laptops/mobiles </w:t>
            </w:r>
            <w:r w:rsidR="0061133D" w:rsidRPr="0061282D">
              <w:rPr>
                <w:rFonts w:cs="Arial"/>
              </w:rPr>
              <w:t xml:space="preserve">which can be easily compromised.  </w:t>
            </w:r>
          </w:p>
          <w:p w14:paraId="7F3B58D1" w14:textId="77777777" w:rsidR="000A1776" w:rsidRPr="0061282D" w:rsidRDefault="000A1776" w:rsidP="00A02B1D">
            <w:pPr>
              <w:spacing w:after="160" w:line="259" w:lineRule="auto"/>
              <w:contextualSpacing/>
              <w:rPr>
                <w:rFonts w:cs="Arial"/>
              </w:rPr>
            </w:pPr>
          </w:p>
          <w:p w14:paraId="22CB542C" w14:textId="77777777" w:rsidR="00E323A9" w:rsidRPr="0061282D" w:rsidRDefault="0061133D" w:rsidP="00A02B1D">
            <w:pPr>
              <w:spacing w:after="160" w:line="259" w:lineRule="auto"/>
              <w:contextualSpacing/>
              <w:rPr>
                <w:rFonts w:cs="Arial"/>
              </w:rPr>
            </w:pPr>
            <w:r w:rsidRPr="0061282D">
              <w:rPr>
                <w:rFonts w:cs="Arial"/>
              </w:rPr>
              <w:t>If cloud storage is not available to your organisation or staff, central drives should be available for saving sensitive information, and staff must be cognizant</w:t>
            </w:r>
            <w:r w:rsidR="000A1776" w:rsidRPr="0061282D">
              <w:rPr>
                <w:rFonts w:cs="Arial"/>
              </w:rPr>
              <w:t xml:space="preserve"> never to save documents to local folders / the desktop</w:t>
            </w:r>
            <w:r w:rsidRPr="0061282D">
              <w:rPr>
                <w:rFonts w:cs="Arial"/>
              </w:rPr>
              <w:t>.</w:t>
            </w:r>
          </w:p>
          <w:p w14:paraId="6D68D467" w14:textId="77777777" w:rsidR="00E323A9" w:rsidRPr="0061282D" w:rsidRDefault="00E323A9" w:rsidP="00A02B1D">
            <w:pPr>
              <w:spacing w:after="160" w:line="259" w:lineRule="auto"/>
              <w:contextualSpacing/>
              <w:rPr>
                <w:rFonts w:cs="Arial"/>
              </w:rPr>
            </w:pPr>
          </w:p>
        </w:tc>
        <w:tc>
          <w:tcPr>
            <w:tcW w:w="992" w:type="dxa"/>
          </w:tcPr>
          <w:p w14:paraId="69A96B00" w14:textId="77777777" w:rsidR="00E323A9" w:rsidRPr="0061282D" w:rsidRDefault="00E323A9" w:rsidP="00A02B1D">
            <w:pPr>
              <w:rPr>
                <w:rFonts w:cs="Arial"/>
                <w:iCs/>
                <w:color w:val="000000" w:themeColor="text1"/>
              </w:rPr>
            </w:pPr>
          </w:p>
        </w:tc>
        <w:tc>
          <w:tcPr>
            <w:tcW w:w="2297" w:type="dxa"/>
          </w:tcPr>
          <w:p w14:paraId="237ADB4F" w14:textId="77777777" w:rsidR="00E323A9" w:rsidRPr="0061282D" w:rsidRDefault="00E323A9" w:rsidP="00A02B1D">
            <w:pPr>
              <w:rPr>
                <w:rFonts w:cs="Arial"/>
                <w:iCs/>
                <w:color w:val="000000" w:themeColor="text1"/>
              </w:rPr>
            </w:pPr>
          </w:p>
        </w:tc>
      </w:tr>
      <w:tr w:rsidR="000A1776" w:rsidRPr="0061282D" w14:paraId="5DFA0C4A" w14:textId="77777777" w:rsidTr="007638CA">
        <w:tc>
          <w:tcPr>
            <w:tcW w:w="1701" w:type="dxa"/>
            <w:tcBorders>
              <w:bottom w:val="single" w:sz="4" w:space="0" w:color="000000" w:themeColor="text1"/>
            </w:tcBorders>
          </w:tcPr>
          <w:p w14:paraId="0D95AE64" w14:textId="77777777" w:rsidR="000A1776" w:rsidRPr="0061282D" w:rsidRDefault="000A1776" w:rsidP="000A1776">
            <w:pPr>
              <w:rPr>
                <w:rFonts w:cs="Arial"/>
                <w:iCs/>
                <w:color w:val="000000" w:themeColor="text1"/>
              </w:rPr>
            </w:pPr>
            <w:r w:rsidRPr="0061282D">
              <w:rPr>
                <w:rFonts w:cs="Arial"/>
                <w:b/>
              </w:rPr>
              <w:t>Firewalls</w:t>
            </w:r>
          </w:p>
        </w:tc>
        <w:tc>
          <w:tcPr>
            <w:tcW w:w="5812" w:type="dxa"/>
            <w:tcBorders>
              <w:bottom w:val="single" w:sz="4" w:space="0" w:color="000000" w:themeColor="text1"/>
            </w:tcBorders>
          </w:tcPr>
          <w:p w14:paraId="424FED12" w14:textId="77777777" w:rsidR="000A1776" w:rsidRPr="007638CA" w:rsidRDefault="000A1776" w:rsidP="000A1776">
            <w:pPr>
              <w:rPr>
                <w:rFonts w:cs="Arial"/>
              </w:rPr>
            </w:pPr>
            <w:r w:rsidRPr="0061282D">
              <w:rPr>
                <w:rFonts w:cs="Arial"/>
              </w:rPr>
              <w:t>These are critical gatekeepers for your organisation’s networks and remote devices, working on a set of rules that monitor and protect inbound and outbound data.  Software firewalls can be deployed on devices via a program.  Physical firewall devices are generally deployed at the perimeter of each network access point.</w:t>
            </w:r>
          </w:p>
        </w:tc>
        <w:tc>
          <w:tcPr>
            <w:tcW w:w="992" w:type="dxa"/>
            <w:tcBorders>
              <w:bottom w:val="single" w:sz="4" w:space="0" w:color="000000" w:themeColor="text1"/>
            </w:tcBorders>
          </w:tcPr>
          <w:p w14:paraId="0F46B4F7" w14:textId="77777777" w:rsidR="000A1776" w:rsidRPr="0061282D" w:rsidRDefault="000A1776" w:rsidP="000A1776">
            <w:pPr>
              <w:rPr>
                <w:rFonts w:cs="Arial"/>
                <w:iCs/>
                <w:color w:val="000000" w:themeColor="text1"/>
              </w:rPr>
            </w:pPr>
          </w:p>
        </w:tc>
        <w:tc>
          <w:tcPr>
            <w:tcW w:w="2297" w:type="dxa"/>
            <w:tcBorders>
              <w:bottom w:val="single" w:sz="4" w:space="0" w:color="000000" w:themeColor="text1"/>
            </w:tcBorders>
          </w:tcPr>
          <w:p w14:paraId="26993103" w14:textId="77777777" w:rsidR="000A1776" w:rsidRPr="0061282D" w:rsidRDefault="000A1776" w:rsidP="000A1776">
            <w:pPr>
              <w:rPr>
                <w:rFonts w:cs="Arial"/>
                <w:iCs/>
                <w:color w:val="000000" w:themeColor="text1"/>
              </w:rPr>
            </w:pPr>
          </w:p>
        </w:tc>
      </w:tr>
      <w:tr w:rsidR="007638CA" w:rsidRPr="007638CA" w14:paraId="1E012D5F" w14:textId="77777777" w:rsidTr="007638CA">
        <w:tc>
          <w:tcPr>
            <w:tcW w:w="1701" w:type="dxa"/>
            <w:shd w:val="clear" w:color="auto" w:fill="00B0F0"/>
          </w:tcPr>
          <w:p w14:paraId="5CB668AB" w14:textId="77777777" w:rsidR="007638CA" w:rsidRPr="007638CA" w:rsidRDefault="007638CA" w:rsidP="00C13AC3">
            <w:pPr>
              <w:rPr>
                <w:rFonts w:cs="Arial"/>
                <w:b/>
                <w:bCs/>
                <w:sz w:val="22"/>
                <w:szCs w:val="22"/>
              </w:rPr>
            </w:pPr>
            <w:r w:rsidRPr="007638CA">
              <w:rPr>
                <w:rFonts w:cs="Arial"/>
                <w:sz w:val="22"/>
                <w:szCs w:val="22"/>
              </w:rPr>
              <w:lastRenderedPageBreak/>
              <w:br w:type="page"/>
            </w:r>
            <w:r w:rsidRPr="007638CA">
              <w:rPr>
                <w:rFonts w:cs="Arial"/>
                <w:b/>
                <w:bCs/>
                <w:sz w:val="22"/>
                <w:szCs w:val="22"/>
              </w:rPr>
              <w:t>Technical Risk Control</w:t>
            </w:r>
          </w:p>
        </w:tc>
        <w:tc>
          <w:tcPr>
            <w:tcW w:w="5812" w:type="dxa"/>
            <w:shd w:val="clear" w:color="auto" w:fill="00B0F0"/>
          </w:tcPr>
          <w:p w14:paraId="5CDA56A4" w14:textId="77777777" w:rsidR="007638CA" w:rsidRPr="007638CA" w:rsidRDefault="007638CA" w:rsidP="00C13AC3">
            <w:pPr>
              <w:rPr>
                <w:rFonts w:cs="Arial"/>
                <w:b/>
                <w:sz w:val="22"/>
                <w:szCs w:val="22"/>
              </w:rPr>
            </w:pPr>
            <w:r w:rsidRPr="007638CA">
              <w:rPr>
                <w:rFonts w:cs="Arial"/>
                <w:b/>
                <w:sz w:val="22"/>
                <w:szCs w:val="22"/>
              </w:rPr>
              <w:t>Guidance</w:t>
            </w:r>
          </w:p>
        </w:tc>
        <w:tc>
          <w:tcPr>
            <w:tcW w:w="992" w:type="dxa"/>
            <w:shd w:val="clear" w:color="auto" w:fill="00B0F0"/>
          </w:tcPr>
          <w:p w14:paraId="3F3AA858" w14:textId="77777777" w:rsidR="007638CA" w:rsidRPr="007638CA" w:rsidRDefault="007638CA" w:rsidP="00C13AC3">
            <w:pPr>
              <w:rPr>
                <w:rFonts w:cs="Arial"/>
                <w:b/>
                <w:sz w:val="22"/>
                <w:szCs w:val="22"/>
              </w:rPr>
            </w:pPr>
            <w:r w:rsidRPr="007638CA">
              <w:rPr>
                <w:rFonts w:cs="Arial"/>
                <w:b/>
                <w:sz w:val="22"/>
                <w:szCs w:val="22"/>
              </w:rPr>
              <w:t>Status</w:t>
            </w:r>
          </w:p>
        </w:tc>
        <w:tc>
          <w:tcPr>
            <w:tcW w:w="2297" w:type="dxa"/>
            <w:shd w:val="clear" w:color="auto" w:fill="00B0F0"/>
          </w:tcPr>
          <w:p w14:paraId="48591ED8" w14:textId="77777777" w:rsidR="007638CA" w:rsidRPr="007638CA" w:rsidRDefault="007638CA" w:rsidP="00C13AC3">
            <w:pPr>
              <w:rPr>
                <w:rFonts w:cs="Arial"/>
                <w:b/>
                <w:sz w:val="22"/>
                <w:szCs w:val="22"/>
              </w:rPr>
            </w:pPr>
            <w:r w:rsidRPr="007638CA">
              <w:rPr>
                <w:rFonts w:cs="Arial"/>
                <w:b/>
                <w:sz w:val="22"/>
                <w:szCs w:val="22"/>
              </w:rPr>
              <w:t>Comments</w:t>
            </w:r>
          </w:p>
        </w:tc>
      </w:tr>
      <w:tr w:rsidR="00E323A9" w:rsidRPr="0061282D" w14:paraId="472B76E6" w14:textId="77777777" w:rsidTr="00E323A9">
        <w:tc>
          <w:tcPr>
            <w:tcW w:w="1701" w:type="dxa"/>
          </w:tcPr>
          <w:p w14:paraId="2E365461" w14:textId="77777777" w:rsidR="00E323A9" w:rsidRPr="0061282D" w:rsidRDefault="00E323A9" w:rsidP="00A02B1D">
            <w:pPr>
              <w:spacing w:after="160" w:line="259" w:lineRule="auto"/>
              <w:contextualSpacing/>
              <w:rPr>
                <w:rFonts w:cs="Arial"/>
                <w:b/>
              </w:rPr>
            </w:pPr>
            <w:r w:rsidRPr="0061282D">
              <w:rPr>
                <w:rFonts w:cs="Arial"/>
                <w:b/>
              </w:rPr>
              <w:t>Anti-Malware Protection</w:t>
            </w:r>
          </w:p>
        </w:tc>
        <w:tc>
          <w:tcPr>
            <w:tcW w:w="5812" w:type="dxa"/>
          </w:tcPr>
          <w:p w14:paraId="754FCFEC" w14:textId="77777777" w:rsidR="00E323A9" w:rsidRDefault="00E323A9" w:rsidP="00A02B1D">
            <w:pPr>
              <w:rPr>
                <w:rFonts w:cs="Arial"/>
                <w:iCs/>
                <w:color w:val="000000" w:themeColor="text1"/>
              </w:rPr>
            </w:pPr>
            <w:r w:rsidRPr="0061282D">
              <w:rPr>
                <w:rFonts w:cs="Arial"/>
                <w:iCs/>
                <w:color w:val="000000" w:themeColor="text1"/>
              </w:rPr>
              <w:t xml:space="preserve">This is a primary method of defence as malicious software (malware) is involved in most cybercrimes.  It is crucial that up to date ‘NextGen’ anti-malware is employed across all devices that carry, store or transact information.  Traditional and old forms of anti-malware or anti-virus software is no longer enough to </w:t>
            </w:r>
            <w:r w:rsidR="000A1776" w:rsidRPr="0061282D">
              <w:rPr>
                <w:rFonts w:cs="Arial"/>
                <w:iCs/>
                <w:color w:val="000000" w:themeColor="text1"/>
              </w:rPr>
              <w:t xml:space="preserve">defeat </w:t>
            </w:r>
            <w:r w:rsidRPr="0061282D">
              <w:rPr>
                <w:rFonts w:cs="Arial"/>
                <w:iCs/>
                <w:color w:val="000000" w:themeColor="text1"/>
              </w:rPr>
              <w:t>the significant increase in evolving malware that is introduced each day.</w:t>
            </w:r>
          </w:p>
          <w:p w14:paraId="11E883E7" w14:textId="77777777" w:rsidR="007638CA" w:rsidRPr="0061282D" w:rsidRDefault="007638CA" w:rsidP="00A02B1D">
            <w:pPr>
              <w:rPr>
                <w:rFonts w:cs="Arial"/>
                <w:iCs/>
                <w:color w:val="000000" w:themeColor="text1"/>
              </w:rPr>
            </w:pPr>
          </w:p>
        </w:tc>
        <w:tc>
          <w:tcPr>
            <w:tcW w:w="992" w:type="dxa"/>
          </w:tcPr>
          <w:p w14:paraId="2018EF70" w14:textId="77777777" w:rsidR="00E323A9" w:rsidRPr="0061282D" w:rsidRDefault="00E323A9" w:rsidP="00A02B1D">
            <w:pPr>
              <w:rPr>
                <w:rFonts w:cs="Arial"/>
                <w:iCs/>
                <w:color w:val="000000" w:themeColor="text1"/>
              </w:rPr>
            </w:pPr>
          </w:p>
        </w:tc>
        <w:tc>
          <w:tcPr>
            <w:tcW w:w="2297" w:type="dxa"/>
          </w:tcPr>
          <w:p w14:paraId="77A67034" w14:textId="77777777" w:rsidR="00E323A9" w:rsidRPr="0061282D" w:rsidRDefault="00E323A9" w:rsidP="00A02B1D">
            <w:pPr>
              <w:rPr>
                <w:rFonts w:cs="Arial"/>
                <w:iCs/>
                <w:color w:val="000000" w:themeColor="text1"/>
              </w:rPr>
            </w:pPr>
          </w:p>
        </w:tc>
      </w:tr>
      <w:tr w:rsidR="000A1776" w:rsidRPr="0061282D" w14:paraId="6491AF17" w14:textId="77777777" w:rsidTr="00E323A9">
        <w:tc>
          <w:tcPr>
            <w:tcW w:w="1701" w:type="dxa"/>
          </w:tcPr>
          <w:p w14:paraId="697D20B5" w14:textId="77777777" w:rsidR="000A1776" w:rsidRPr="0061282D" w:rsidRDefault="000A1776" w:rsidP="00A02B1D">
            <w:pPr>
              <w:spacing w:after="160" w:line="259" w:lineRule="auto"/>
              <w:contextualSpacing/>
              <w:rPr>
                <w:rFonts w:cs="Arial"/>
                <w:b/>
              </w:rPr>
            </w:pPr>
            <w:r w:rsidRPr="0061282D">
              <w:rPr>
                <w:rFonts w:cs="Arial"/>
                <w:b/>
              </w:rPr>
              <w:t>Data Loss Prevention</w:t>
            </w:r>
          </w:p>
        </w:tc>
        <w:tc>
          <w:tcPr>
            <w:tcW w:w="5812" w:type="dxa"/>
          </w:tcPr>
          <w:p w14:paraId="005CA0B7" w14:textId="77777777" w:rsidR="000A1776" w:rsidRPr="0061282D" w:rsidRDefault="000A1776" w:rsidP="00A02B1D">
            <w:pPr>
              <w:spacing w:after="160" w:line="259" w:lineRule="auto"/>
              <w:contextualSpacing/>
              <w:rPr>
                <w:rFonts w:cs="Arial"/>
              </w:rPr>
            </w:pPr>
            <w:r w:rsidRPr="0061282D">
              <w:rPr>
                <w:rFonts w:cs="Arial"/>
              </w:rPr>
              <w:t>Technologies can be implemented, or devices can be adapted to offer technical security against data loss, e.g. disabling USB ports on laptops and devices.  If such technologies are not possible, then procedural controls will need to be enforced for staff to follow – e.g. bans on using removable devices.</w:t>
            </w:r>
          </w:p>
          <w:p w14:paraId="7C8E419A" w14:textId="77777777" w:rsidR="000A1776" w:rsidRPr="0061282D" w:rsidRDefault="000A1776" w:rsidP="00A02B1D">
            <w:pPr>
              <w:rPr>
                <w:rFonts w:cs="Arial"/>
                <w:iCs/>
                <w:color w:val="000000" w:themeColor="text1"/>
              </w:rPr>
            </w:pPr>
          </w:p>
        </w:tc>
        <w:tc>
          <w:tcPr>
            <w:tcW w:w="992" w:type="dxa"/>
          </w:tcPr>
          <w:p w14:paraId="7877A8D4" w14:textId="77777777" w:rsidR="000A1776" w:rsidRPr="0061282D" w:rsidRDefault="000A1776" w:rsidP="00A02B1D">
            <w:pPr>
              <w:rPr>
                <w:rFonts w:cs="Arial"/>
                <w:iCs/>
                <w:color w:val="000000" w:themeColor="text1"/>
              </w:rPr>
            </w:pPr>
          </w:p>
        </w:tc>
        <w:tc>
          <w:tcPr>
            <w:tcW w:w="2297" w:type="dxa"/>
          </w:tcPr>
          <w:p w14:paraId="2194CD38" w14:textId="77777777" w:rsidR="000A1776" w:rsidRPr="0061282D" w:rsidRDefault="000A1776" w:rsidP="00A02B1D">
            <w:pPr>
              <w:rPr>
                <w:rFonts w:cs="Arial"/>
                <w:iCs/>
                <w:color w:val="000000" w:themeColor="text1"/>
              </w:rPr>
            </w:pPr>
          </w:p>
        </w:tc>
      </w:tr>
      <w:tr w:rsidR="000A1776" w:rsidRPr="0061282D" w14:paraId="1590EB1A" w14:textId="77777777" w:rsidTr="00E323A9">
        <w:tc>
          <w:tcPr>
            <w:tcW w:w="1701" w:type="dxa"/>
          </w:tcPr>
          <w:p w14:paraId="43F6E5B7" w14:textId="77777777" w:rsidR="000A1776" w:rsidRPr="0061282D" w:rsidRDefault="000A1776" w:rsidP="00A02B1D">
            <w:pPr>
              <w:spacing w:after="160" w:line="259" w:lineRule="auto"/>
              <w:contextualSpacing/>
              <w:rPr>
                <w:rFonts w:cs="Arial"/>
                <w:b/>
              </w:rPr>
            </w:pPr>
            <w:r w:rsidRPr="0061282D">
              <w:rPr>
                <w:rFonts w:cs="Arial"/>
                <w:b/>
              </w:rPr>
              <w:t>Mobile Device Management (MDM)</w:t>
            </w:r>
          </w:p>
        </w:tc>
        <w:tc>
          <w:tcPr>
            <w:tcW w:w="5812" w:type="dxa"/>
          </w:tcPr>
          <w:p w14:paraId="71D76795" w14:textId="77777777" w:rsidR="000A1776" w:rsidRPr="0061282D" w:rsidRDefault="000A1776" w:rsidP="00A02B1D">
            <w:pPr>
              <w:rPr>
                <w:rFonts w:cs="Arial"/>
              </w:rPr>
            </w:pPr>
            <w:r w:rsidRPr="0061282D">
              <w:rPr>
                <w:rFonts w:cs="Arial"/>
              </w:rPr>
              <w:t>A useful tool for security response teams</w:t>
            </w:r>
            <w:r w:rsidR="00FF267D" w:rsidRPr="0061282D">
              <w:rPr>
                <w:rFonts w:cs="Arial"/>
              </w:rPr>
              <w:t xml:space="preserve"> </w:t>
            </w:r>
            <w:r w:rsidRPr="0061282D">
              <w:rPr>
                <w:rFonts w:cs="Arial"/>
              </w:rPr>
              <w:t>/</w:t>
            </w:r>
            <w:r w:rsidR="00FF267D" w:rsidRPr="0061282D">
              <w:rPr>
                <w:rFonts w:cs="Arial"/>
              </w:rPr>
              <w:t xml:space="preserve"> </w:t>
            </w:r>
            <w:r w:rsidRPr="0061282D">
              <w:rPr>
                <w:rFonts w:cs="Arial"/>
              </w:rPr>
              <w:t>IT to have</w:t>
            </w:r>
            <w:r w:rsidR="00FF267D" w:rsidRPr="0061282D">
              <w:rPr>
                <w:rFonts w:cs="Arial"/>
              </w:rPr>
              <w:t xml:space="preserve"> access to, in order</w:t>
            </w:r>
            <w:r w:rsidRPr="0061282D">
              <w:rPr>
                <w:rFonts w:cs="Arial"/>
              </w:rPr>
              <w:t xml:space="preserve"> to minimise the impact of any compromised device.</w:t>
            </w:r>
            <w:r w:rsidR="00FF267D" w:rsidRPr="0061282D">
              <w:rPr>
                <w:rFonts w:cs="Arial"/>
              </w:rPr>
              <w:t xml:space="preserve">  MDM can control the operation of mobile devices remotely and wipe information or disable access to them, For example, for a device that has been reported lost or stolen.  </w:t>
            </w:r>
          </w:p>
          <w:p w14:paraId="6FADB19E" w14:textId="77777777" w:rsidR="000A1776" w:rsidRPr="0061282D" w:rsidRDefault="000A1776" w:rsidP="00A02B1D">
            <w:pPr>
              <w:rPr>
                <w:rFonts w:cs="Arial"/>
                <w:iCs/>
                <w:color w:val="000000" w:themeColor="text1"/>
              </w:rPr>
            </w:pPr>
          </w:p>
        </w:tc>
        <w:tc>
          <w:tcPr>
            <w:tcW w:w="992" w:type="dxa"/>
          </w:tcPr>
          <w:p w14:paraId="7583E937" w14:textId="77777777" w:rsidR="000A1776" w:rsidRPr="0061282D" w:rsidRDefault="000A1776" w:rsidP="00A02B1D">
            <w:pPr>
              <w:rPr>
                <w:rFonts w:cs="Arial"/>
                <w:iCs/>
                <w:color w:val="000000" w:themeColor="text1"/>
              </w:rPr>
            </w:pPr>
          </w:p>
        </w:tc>
        <w:tc>
          <w:tcPr>
            <w:tcW w:w="2297" w:type="dxa"/>
          </w:tcPr>
          <w:p w14:paraId="6096D5B2" w14:textId="77777777" w:rsidR="000A1776" w:rsidRPr="0061282D" w:rsidRDefault="000A1776" w:rsidP="00A02B1D">
            <w:pPr>
              <w:rPr>
                <w:rFonts w:cs="Arial"/>
                <w:iCs/>
                <w:color w:val="000000" w:themeColor="text1"/>
              </w:rPr>
            </w:pPr>
          </w:p>
        </w:tc>
      </w:tr>
      <w:tr w:rsidR="00FF267D" w:rsidRPr="0061282D" w14:paraId="2C47CB76" w14:textId="77777777" w:rsidTr="00A13D90">
        <w:tc>
          <w:tcPr>
            <w:tcW w:w="1701" w:type="dxa"/>
          </w:tcPr>
          <w:p w14:paraId="73980B53" w14:textId="77777777" w:rsidR="00FF267D" w:rsidRPr="0061282D" w:rsidRDefault="00FF267D" w:rsidP="007638CA">
            <w:pPr>
              <w:spacing w:after="160" w:line="259" w:lineRule="auto"/>
              <w:contextualSpacing/>
              <w:rPr>
                <w:rFonts w:cs="Arial"/>
                <w:b/>
              </w:rPr>
            </w:pPr>
            <w:r w:rsidRPr="0061282D">
              <w:rPr>
                <w:rFonts w:cs="Arial"/>
                <w:b/>
              </w:rPr>
              <w:t xml:space="preserve">Network </w:t>
            </w:r>
            <w:r w:rsidR="007638CA">
              <w:rPr>
                <w:rFonts w:cs="Arial"/>
                <w:b/>
              </w:rPr>
              <w:t xml:space="preserve">Monitoring </w:t>
            </w:r>
            <w:r w:rsidRPr="0061282D">
              <w:rPr>
                <w:rFonts w:cs="Arial"/>
                <w:b/>
              </w:rPr>
              <w:t>/ In</w:t>
            </w:r>
            <w:r w:rsidR="007638CA">
              <w:rPr>
                <w:rFonts w:cs="Arial"/>
                <w:b/>
              </w:rPr>
              <w:t>trusion Detection &amp; Prevention S</w:t>
            </w:r>
            <w:r w:rsidRPr="0061282D">
              <w:rPr>
                <w:rFonts w:cs="Arial"/>
                <w:b/>
              </w:rPr>
              <w:t>oftware</w:t>
            </w:r>
          </w:p>
        </w:tc>
        <w:tc>
          <w:tcPr>
            <w:tcW w:w="5812" w:type="dxa"/>
          </w:tcPr>
          <w:p w14:paraId="2AF768EA" w14:textId="77777777" w:rsidR="00FF267D" w:rsidRPr="0061282D" w:rsidRDefault="00FF267D" w:rsidP="00A13D90">
            <w:pPr>
              <w:rPr>
                <w:rFonts w:cs="Arial"/>
                <w:iCs/>
                <w:color w:val="000000" w:themeColor="text1"/>
              </w:rPr>
            </w:pPr>
            <w:r w:rsidRPr="0061282D">
              <w:rPr>
                <w:rFonts w:cs="Arial"/>
                <w:iCs/>
                <w:color w:val="000000" w:themeColor="text1"/>
              </w:rPr>
              <w:t xml:space="preserve">Appropriate technologies should be identified for your organisation to enable proactive monitoring of communications and unwanted information that passes through all devices connected to the organisation, offering timely alerts in order to prevent or minimise the impact of any breach.  Some programs can also block and remove unwanted intrusions.  </w:t>
            </w:r>
          </w:p>
          <w:p w14:paraId="708092ED" w14:textId="77777777" w:rsidR="00FF267D" w:rsidRPr="0061282D" w:rsidRDefault="00FF267D" w:rsidP="00A13D90">
            <w:pPr>
              <w:rPr>
                <w:rFonts w:cs="Arial"/>
                <w:iCs/>
                <w:color w:val="000000" w:themeColor="text1"/>
              </w:rPr>
            </w:pPr>
          </w:p>
        </w:tc>
        <w:tc>
          <w:tcPr>
            <w:tcW w:w="992" w:type="dxa"/>
          </w:tcPr>
          <w:p w14:paraId="0F91779A" w14:textId="77777777" w:rsidR="00FF267D" w:rsidRPr="0061282D" w:rsidRDefault="00FF267D" w:rsidP="00A13D90">
            <w:pPr>
              <w:rPr>
                <w:rFonts w:cs="Arial"/>
                <w:iCs/>
                <w:color w:val="000000" w:themeColor="text1"/>
              </w:rPr>
            </w:pPr>
          </w:p>
        </w:tc>
        <w:tc>
          <w:tcPr>
            <w:tcW w:w="2297" w:type="dxa"/>
          </w:tcPr>
          <w:p w14:paraId="5AA5F8D4" w14:textId="77777777" w:rsidR="00FF267D" w:rsidRPr="0061282D" w:rsidRDefault="00FF267D" w:rsidP="00A13D90">
            <w:pPr>
              <w:rPr>
                <w:rFonts w:cs="Arial"/>
                <w:iCs/>
                <w:color w:val="000000" w:themeColor="text1"/>
              </w:rPr>
            </w:pPr>
          </w:p>
        </w:tc>
      </w:tr>
      <w:tr w:rsidR="00A13D90" w:rsidRPr="0061282D" w14:paraId="7E773E1B" w14:textId="77777777" w:rsidTr="00A13D90">
        <w:tc>
          <w:tcPr>
            <w:tcW w:w="1701" w:type="dxa"/>
          </w:tcPr>
          <w:p w14:paraId="59553DAA" w14:textId="77777777" w:rsidR="00A13D90" w:rsidRPr="0061282D" w:rsidRDefault="007638CA" w:rsidP="00A13D90">
            <w:pPr>
              <w:spacing w:after="160" w:line="259" w:lineRule="auto"/>
              <w:contextualSpacing/>
              <w:rPr>
                <w:rFonts w:cs="Arial"/>
                <w:b/>
              </w:rPr>
            </w:pPr>
            <w:r>
              <w:rPr>
                <w:rFonts w:cs="Arial"/>
                <w:b/>
              </w:rPr>
              <w:t>Endpoint Detection &amp; Response S</w:t>
            </w:r>
            <w:r w:rsidR="00A13D90" w:rsidRPr="0061282D">
              <w:rPr>
                <w:rFonts w:cs="Arial"/>
                <w:b/>
              </w:rPr>
              <w:t>olutions</w:t>
            </w:r>
          </w:p>
        </w:tc>
        <w:tc>
          <w:tcPr>
            <w:tcW w:w="5812" w:type="dxa"/>
          </w:tcPr>
          <w:p w14:paraId="362B8DC2" w14:textId="77777777" w:rsidR="00A13D90" w:rsidRPr="0061282D" w:rsidRDefault="00A13D90" w:rsidP="00A13D90">
            <w:pPr>
              <w:rPr>
                <w:rFonts w:cs="Arial"/>
              </w:rPr>
            </w:pPr>
            <w:r w:rsidRPr="0061282D">
              <w:rPr>
                <w:rFonts w:cs="Arial"/>
                <w:iCs/>
                <w:color w:val="000000" w:themeColor="text1"/>
              </w:rPr>
              <w:t xml:space="preserve">Enables </w:t>
            </w:r>
            <w:r w:rsidRPr="0061282D">
              <w:rPr>
                <w:rFonts w:cs="Arial"/>
              </w:rPr>
              <w:t xml:space="preserve">IT teams to view all endpoints to remotely prevent malware, deploy patches, and perform other activities automatically.  Such a technology is generally powered by artificial intelligence/machine learning and offers continuous monitoring and response to mitigate cyber threats.  </w:t>
            </w:r>
          </w:p>
          <w:p w14:paraId="3FEA0DA3" w14:textId="77777777" w:rsidR="00A13D90" w:rsidRPr="0061282D" w:rsidRDefault="00A13D90" w:rsidP="00A13D90">
            <w:pPr>
              <w:rPr>
                <w:rFonts w:cs="Arial"/>
                <w:iCs/>
                <w:color w:val="000000" w:themeColor="text1"/>
              </w:rPr>
            </w:pPr>
          </w:p>
        </w:tc>
        <w:tc>
          <w:tcPr>
            <w:tcW w:w="992" w:type="dxa"/>
          </w:tcPr>
          <w:p w14:paraId="111A0EF8" w14:textId="77777777" w:rsidR="00A13D90" w:rsidRPr="0061282D" w:rsidRDefault="00A13D90" w:rsidP="00A13D90">
            <w:pPr>
              <w:rPr>
                <w:rFonts w:cs="Arial"/>
                <w:iCs/>
                <w:color w:val="000000" w:themeColor="text1"/>
              </w:rPr>
            </w:pPr>
          </w:p>
        </w:tc>
        <w:tc>
          <w:tcPr>
            <w:tcW w:w="2297" w:type="dxa"/>
          </w:tcPr>
          <w:p w14:paraId="2FBCF106" w14:textId="77777777" w:rsidR="00A13D90" w:rsidRPr="0061282D" w:rsidRDefault="00A13D90" w:rsidP="00A13D90">
            <w:pPr>
              <w:rPr>
                <w:rFonts w:cs="Arial"/>
                <w:iCs/>
                <w:color w:val="000000" w:themeColor="text1"/>
              </w:rPr>
            </w:pPr>
          </w:p>
        </w:tc>
      </w:tr>
      <w:tr w:rsidR="00A13D90" w:rsidRPr="0061282D" w14:paraId="4D26165E" w14:textId="77777777" w:rsidTr="00E323A9">
        <w:tc>
          <w:tcPr>
            <w:tcW w:w="1701" w:type="dxa"/>
          </w:tcPr>
          <w:p w14:paraId="3F968439" w14:textId="77777777" w:rsidR="00A13D90" w:rsidRPr="0061282D" w:rsidRDefault="00A13D90" w:rsidP="00A02B1D">
            <w:pPr>
              <w:spacing w:after="160" w:line="259" w:lineRule="auto"/>
              <w:contextualSpacing/>
              <w:rPr>
                <w:rFonts w:cs="Arial"/>
                <w:b/>
              </w:rPr>
            </w:pPr>
            <w:r w:rsidRPr="0061282D">
              <w:rPr>
                <w:rFonts w:cs="Arial"/>
                <w:b/>
              </w:rPr>
              <w:t>Back Up Solutions</w:t>
            </w:r>
          </w:p>
        </w:tc>
        <w:tc>
          <w:tcPr>
            <w:tcW w:w="5812" w:type="dxa"/>
          </w:tcPr>
          <w:p w14:paraId="0C5B66A3" w14:textId="77777777" w:rsidR="00A13D90" w:rsidRPr="0061282D" w:rsidRDefault="00A13D90" w:rsidP="00A02B1D">
            <w:pPr>
              <w:rPr>
                <w:rFonts w:cs="Arial"/>
              </w:rPr>
            </w:pPr>
            <w:r w:rsidRPr="0061282D">
              <w:rPr>
                <w:rFonts w:cs="Arial"/>
              </w:rPr>
              <w:t>Effective investment in such a facility for critical and sensitive information can be invaluable in situations such as when faced with a ransomware attack.  Organisations should never pay a ransom and if appropriate backups, which are refreshed on an appropriately regular basis are in place, minimal impact should be encountered, and focus can be placed on securing all vulnerable access points to mitigate against future attacks.</w:t>
            </w:r>
          </w:p>
          <w:p w14:paraId="297D2C38" w14:textId="77777777" w:rsidR="00A13D90" w:rsidRPr="0061282D" w:rsidRDefault="00A13D90" w:rsidP="00A02B1D">
            <w:pPr>
              <w:rPr>
                <w:rFonts w:cs="Arial"/>
                <w:iCs/>
                <w:color w:val="000000" w:themeColor="text1"/>
              </w:rPr>
            </w:pPr>
          </w:p>
        </w:tc>
        <w:tc>
          <w:tcPr>
            <w:tcW w:w="992" w:type="dxa"/>
          </w:tcPr>
          <w:p w14:paraId="4216323E" w14:textId="77777777" w:rsidR="00A13D90" w:rsidRPr="0061282D" w:rsidRDefault="00A13D90" w:rsidP="00A02B1D">
            <w:pPr>
              <w:rPr>
                <w:rFonts w:cs="Arial"/>
                <w:iCs/>
                <w:color w:val="000000" w:themeColor="text1"/>
              </w:rPr>
            </w:pPr>
          </w:p>
        </w:tc>
        <w:tc>
          <w:tcPr>
            <w:tcW w:w="2297" w:type="dxa"/>
          </w:tcPr>
          <w:p w14:paraId="68923C74" w14:textId="77777777" w:rsidR="00A13D90" w:rsidRPr="0061282D" w:rsidRDefault="00A13D90" w:rsidP="00A02B1D">
            <w:pPr>
              <w:rPr>
                <w:rFonts w:cs="Arial"/>
                <w:iCs/>
                <w:color w:val="000000" w:themeColor="text1"/>
              </w:rPr>
            </w:pPr>
          </w:p>
        </w:tc>
      </w:tr>
      <w:tr w:rsidR="00A13D90" w:rsidRPr="0061282D" w14:paraId="13FCDD6B" w14:textId="77777777" w:rsidTr="00A13D90">
        <w:trPr>
          <w:trHeight w:val="724"/>
        </w:trPr>
        <w:tc>
          <w:tcPr>
            <w:tcW w:w="1701" w:type="dxa"/>
          </w:tcPr>
          <w:p w14:paraId="4934E106" w14:textId="77777777" w:rsidR="00A13D90" w:rsidRPr="0061282D" w:rsidRDefault="00A13D90" w:rsidP="00A02B1D">
            <w:pPr>
              <w:spacing w:after="160" w:line="259" w:lineRule="auto"/>
              <w:contextualSpacing/>
              <w:rPr>
                <w:rFonts w:cs="Arial"/>
                <w:b/>
              </w:rPr>
            </w:pPr>
            <w:r w:rsidRPr="0061282D">
              <w:rPr>
                <w:rFonts w:cs="Arial"/>
                <w:b/>
              </w:rPr>
              <w:t>Security Settings</w:t>
            </w:r>
          </w:p>
        </w:tc>
        <w:tc>
          <w:tcPr>
            <w:tcW w:w="5812" w:type="dxa"/>
          </w:tcPr>
          <w:p w14:paraId="0CA98AF5" w14:textId="77777777" w:rsidR="00A13D90" w:rsidRPr="0061282D" w:rsidRDefault="00A13D90" w:rsidP="00FF267D">
            <w:pPr>
              <w:spacing w:after="160" w:line="259" w:lineRule="auto"/>
              <w:contextualSpacing/>
              <w:rPr>
                <w:rFonts w:cs="Arial"/>
              </w:rPr>
            </w:pPr>
            <w:r w:rsidRPr="0061282D">
              <w:rPr>
                <w:rFonts w:cs="Arial"/>
              </w:rPr>
              <w:t xml:space="preserve">Ensure all security settings are set to </w:t>
            </w:r>
            <w:r w:rsidRPr="0061282D">
              <w:rPr>
                <w:rFonts w:cs="Arial"/>
                <w:b/>
              </w:rPr>
              <w:t>HIGH</w:t>
            </w:r>
            <w:r w:rsidRPr="0061282D">
              <w:rPr>
                <w:rFonts w:cs="Arial"/>
              </w:rPr>
              <w:t xml:space="preserve"> for devices used for activities related to the organisation.</w:t>
            </w:r>
          </w:p>
          <w:p w14:paraId="5F44A26F" w14:textId="77777777" w:rsidR="00A13D90" w:rsidRPr="0061282D" w:rsidRDefault="00A13D90" w:rsidP="00A02B1D">
            <w:pPr>
              <w:rPr>
                <w:rFonts w:cs="Arial"/>
              </w:rPr>
            </w:pPr>
          </w:p>
        </w:tc>
        <w:tc>
          <w:tcPr>
            <w:tcW w:w="992" w:type="dxa"/>
          </w:tcPr>
          <w:p w14:paraId="67185676" w14:textId="77777777" w:rsidR="00A13D90" w:rsidRPr="0061282D" w:rsidRDefault="00A13D90" w:rsidP="00A02B1D">
            <w:pPr>
              <w:rPr>
                <w:rFonts w:cs="Arial"/>
                <w:iCs/>
                <w:color w:val="000000" w:themeColor="text1"/>
              </w:rPr>
            </w:pPr>
          </w:p>
        </w:tc>
        <w:tc>
          <w:tcPr>
            <w:tcW w:w="2297" w:type="dxa"/>
          </w:tcPr>
          <w:p w14:paraId="2BB9DA6A" w14:textId="77777777" w:rsidR="00A13D90" w:rsidRPr="0061282D" w:rsidRDefault="00A13D90" w:rsidP="00A02B1D">
            <w:pPr>
              <w:rPr>
                <w:rFonts w:cs="Arial"/>
                <w:iCs/>
                <w:color w:val="000000" w:themeColor="text1"/>
              </w:rPr>
            </w:pPr>
          </w:p>
        </w:tc>
      </w:tr>
      <w:tr w:rsidR="00A13D90" w:rsidRPr="0061282D" w14:paraId="4CCAA849" w14:textId="77777777" w:rsidTr="007638CA">
        <w:trPr>
          <w:trHeight w:val="1122"/>
        </w:trPr>
        <w:tc>
          <w:tcPr>
            <w:tcW w:w="1701" w:type="dxa"/>
          </w:tcPr>
          <w:p w14:paraId="66C6FB3B" w14:textId="77777777" w:rsidR="00A13D90" w:rsidRPr="0061282D" w:rsidRDefault="00A13D90" w:rsidP="00A02B1D">
            <w:pPr>
              <w:spacing w:after="160" w:line="259" w:lineRule="auto"/>
              <w:contextualSpacing/>
              <w:rPr>
                <w:rFonts w:cs="Arial"/>
                <w:b/>
              </w:rPr>
            </w:pPr>
          </w:p>
        </w:tc>
        <w:tc>
          <w:tcPr>
            <w:tcW w:w="5812" w:type="dxa"/>
          </w:tcPr>
          <w:p w14:paraId="7AA0EA76" w14:textId="77777777" w:rsidR="00A13D90" w:rsidRPr="0061282D" w:rsidRDefault="00A13D90" w:rsidP="007638CA">
            <w:pPr>
              <w:rPr>
                <w:rFonts w:cs="Arial"/>
              </w:rPr>
            </w:pPr>
          </w:p>
        </w:tc>
        <w:tc>
          <w:tcPr>
            <w:tcW w:w="992" w:type="dxa"/>
          </w:tcPr>
          <w:p w14:paraId="0A4F9D84" w14:textId="77777777" w:rsidR="00A13D90" w:rsidRPr="0061282D" w:rsidRDefault="00A13D90" w:rsidP="00A02B1D">
            <w:pPr>
              <w:rPr>
                <w:rFonts w:cs="Arial"/>
                <w:iCs/>
                <w:color w:val="000000" w:themeColor="text1"/>
              </w:rPr>
            </w:pPr>
          </w:p>
        </w:tc>
        <w:tc>
          <w:tcPr>
            <w:tcW w:w="2297" w:type="dxa"/>
          </w:tcPr>
          <w:p w14:paraId="2B5A931E" w14:textId="77777777" w:rsidR="00A13D90" w:rsidRPr="0061282D" w:rsidRDefault="00A13D90" w:rsidP="00A02B1D">
            <w:pPr>
              <w:rPr>
                <w:rFonts w:cs="Arial"/>
                <w:iCs/>
                <w:color w:val="000000" w:themeColor="text1"/>
              </w:rPr>
            </w:pPr>
          </w:p>
        </w:tc>
      </w:tr>
    </w:tbl>
    <w:p w14:paraId="15A6CFD0" w14:textId="77777777" w:rsidR="00E323A9" w:rsidRDefault="00E323A9" w:rsidP="00E323A9">
      <w:pPr>
        <w:rPr>
          <w:iCs/>
          <w:color w:val="000000" w:themeColor="text1"/>
        </w:rPr>
      </w:pPr>
    </w:p>
    <w:p w14:paraId="3B7F297E" w14:textId="77777777" w:rsidR="00A13D90" w:rsidRPr="0091512E" w:rsidRDefault="00A13D90" w:rsidP="00A13D90">
      <w:pPr>
        <w:rPr>
          <w:i/>
          <w:color w:val="7030A0"/>
        </w:rPr>
      </w:pPr>
      <w:r w:rsidRPr="0091512E">
        <w:rPr>
          <w:i/>
          <w:color w:val="7030A0"/>
        </w:rPr>
        <w:t xml:space="preserve">Appropriate research should be undertaken to understand and identify the most effective </w:t>
      </w:r>
      <w:r w:rsidR="00660644" w:rsidRPr="0091512E">
        <w:rPr>
          <w:i/>
          <w:color w:val="7030A0"/>
        </w:rPr>
        <w:t>technical</w:t>
      </w:r>
      <w:r w:rsidRPr="0091512E">
        <w:rPr>
          <w:i/>
          <w:color w:val="7030A0"/>
        </w:rPr>
        <w:t xml:space="preserve"> solutions for your organisation, as for each of the defence methods there are often many options available.  Ensure you consider your organisation’s current and future potential remote working practices when selecting risk management solutions.</w:t>
      </w:r>
    </w:p>
    <w:p w14:paraId="186792D4" w14:textId="77777777" w:rsidR="00A13D90" w:rsidRPr="0091512E" w:rsidRDefault="00A13D90" w:rsidP="0091512E">
      <w:pPr>
        <w:jc w:val="center"/>
        <w:rPr>
          <w:i/>
          <w:color w:val="7030A0"/>
        </w:rPr>
      </w:pPr>
    </w:p>
    <w:p w14:paraId="58789080" w14:textId="4EE96982" w:rsidR="00E323A9" w:rsidRPr="0091512E" w:rsidRDefault="00FF267D" w:rsidP="00E323A9">
      <w:pPr>
        <w:rPr>
          <w:i/>
          <w:color w:val="7030A0"/>
        </w:rPr>
      </w:pPr>
      <w:r w:rsidRPr="0091512E">
        <w:rPr>
          <w:i/>
          <w:color w:val="7030A0"/>
        </w:rPr>
        <w:t>Technical security controls should be reviewed regularly</w:t>
      </w:r>
      <w:r w:rsidR="0091512E">
        <w:rPr>
          <w:i/>
          <w:color w:val="7030A0"/>
        </w:rPr>
        <w:t xml:space="preserve"> </w:t>
      </w:r>
      <w:bookmarkStart w:id="0" w:name="_GoBack"/>
      <w:bookmarkEnd w:id="0"/>
      <w:r w:rsidRPr="0091512E">
        <w:rPr>
          <w:i/>
          <w:color w:val="7030A0"/>
        </w:rPr>
        <w:t>and updated to meet the organisation</w:t>
      </w:r>
      <w:r w:rsidR="00A13D90" w:rsidRPr="0091512E">
        <w:rPr>
          <w:i/>
          <w:color w:val="7030A0"/>
        </w:rPr>
        <w:t>’</w:t>
      </w:r>
      <w:r w:rsidRPr="0091512E">
        <w:rPr>
          <w:i/>
          <w:color w:val="7030A0"/>
        </w:rPr>
        <w:t xml:space="preserve">s current </w:t>
      </w:r>
      <w:r w:rsidR="00660644" w:rsidRPr="0091512E">
        <w:rPr>
          <w:i/>
          <w:color w:val="7030A0"/>
        </w:rPr>
        <w:t>threatscape</w:t>
      </w:r>
      <w:r w:rsidRPr="0091512E">
        <w:rPr>
          <w:i/>
          <w:color w:val="7030A0"/>
        </w:rPr>
        <w:t xml:space="preserve">.  At minimum, an annual security risk and controls review </w:t>
      </w:r>
      <w:r w:rsidR="00A13D90" w:rsidRPr="0091512E">
        <w:rPr>
          <w:i/>
          <w:color w:val="7030A0"/>
        </w:rPr>
        <w:t xml:space="preserve">for your organisation </w:t>
      </w:r>
      <w:r w:rsidRPr="0091512E">
        <w:rPr>
          <w:i/>
          <w:color w:val="7030A0"/>
        </w:rPr>
        <w:t>is recommended.</w:t>
      </w:r>
    </w:p>
    <w:p w14:paraId="244C7543" w14:textId="77777777" w:rsidR="00E323A9" w:rsidRDefault="00E323A9" w:rsidP="00E323A9"/>
    <w:p w14:paraId="243B615C" w14:textId="77777777" w:rsidR="00C74D3C" w:rsidRPr="00E323A9" w:rsidRDefault="00C74D3C" w:rsidP="00E323A9"/>
    <w:sectPr w:rsidR="00C74D3C" w:rsidRPr="00E323A9" w:rsidSect="00076B35">
      <w:headerReference w:type="default" r:id="rId9"/>
      <w:footerReference w:type="default" r:id="rId10"/>
      <w:headerReference w:type="first" r:id="rId11"/>
      <w:footerReference w:type="first" r:id="rId12"/>
      <w:pgSz w:w="11909" w:h="16834"/>
      <w:pgMar w:top="993" w:right="1134" w:bottom="709" w:left="1134" w:header="567" w:footer="3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01DD" w14:textId="77777777" w:rsidR="00A13D90" w:rsidRDefault="00A13D90">
      <w:r>
        <w:separator/>
      </w:r>
    </w:p>
  </w:endnote>
  <w:endnote w:type="continuationSeparator" w:id="0">
    <w:p w14:paraId="39406EAA" w14:textId="77777777" w:rsidR="00A13D90" w:rsidRDefault="00A1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45 Book">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445C" w14:textId="5A600B96" w:rsidR="00A13D90" w:rsidRPr="006650A1" w:rsidRDefault="0091512E" w:rsidP="006650A1">
    <w:pPr>
      <w:pStyle w:val="Footer"/>
      <w:pBdr>
        <w:between w:val="single" w:sz="8" w:space="1" w:color="auto"/>
      </w:pBdr>
      <w:tabs>
        <w:tab w:val="clear" w:pos="8306"/>
        <w:tab w:val="left" w:pos="-709"/>
        <w:tab w:val="left" w:pos="1665"/>
        <w:tab w:val="left" w:pos="8931"/>
        <w:tab w:val="right" w:pos="9923"/>
      </w:tabs>
      <w:ind w:left="-426" w:right="-282" w:hanging="141"/>
      <w:rPr>
        <w:rFonts w:cs="Arial"/>
        <w:sz w:val="14"/>
        <w:szCs w:val="14"/>
      </w:rPr>
    </w:pPr>
    <w:r>
      <w:rPr>
        <w:rFonts w:ascii="Verdana" w:hAnsi="Verdana" w:cs="Arial"/>
        <w:b/>
        <w:sz w:val="14"/>
        <w:szCs w:val="14"/>
        <w:lang w:val="en-US"/>
      </w:rPr>
      <w:pict w14:anchorId="407F212D">
        <v:rect id="_x0000_i1028" style="width:552.85pt;height:1pt" o:hralign="center" o:hrstd="t" o:hr="t" fillcolor="#a0a0a0" stroked="f"/>
      </w:pict>
    </w:r>
    <w:r w:rsidR="00A13D90" w:rsidRPr="00924224">
      <w:rPr>
        <w:rFonts w:ascii="Verdana" w:hAnsi="Verdana" w:cs="Arial"/>
        <w:sz w:val="14"/>
        <w:szCs w:val="14"/>
      </w:rPr>
      <w:t xml:space="preserve">© </w:t>
    </w:r>
    <w:r w:rsidR="00A13D90" w:rsidRPr="00924224">
      <w:rPr>
        <w:rFonts w:ascii="Verdana" w:hAnsi="Verdana" w:cs="Arial"/>
        <w:sz w:val="12"/>
        <w:szCs w:val="14"/>
      </w:rPr>
      <w:t xml:space="preserve">QBE Insurance (Europe) Limited </w:t>
    </w:r>
    <w:r w:rsidR="00A13D90" w:rsidRPr="00924224">
      <w:rPr>
        <w:rFonts w:ascii="Verdana" w:hAnsi="Verdana" w:cs="Arial"/>
        <w:sz w:val="12"/>
        <w:szCs w:val="14"/>
      </w:rPr>
      <w:fldChar w:fldCharType="begin"/>
    </w:r>
    <w:r w:rsidR="00A13D90" w:rsidRPr="00924224">
      <w:rPr>
        <w:rFonts w:ascii="Verdana" w:hAnsi="Verdana" w:cs="Arial"/>
        <w:sz w:val="12"/>
        <w:szCs w:val="14"/>
      </w:rPr>
      <w:instrText xml:space="preserve"> TIME  \@ "YYYY"  \* MERGEFORMAT </w:instrText>
    </w:r>
    <w:r w:rsidR="00A13D90" w:rsidRPr="00924224">
      <w:rPr>
        <w:rFonts w:ascii="Verdana" w:hAnsi="Verdana" w:cs="Arial"/>
        <w:sz w:val="12"/>
        <w:szCs w:val="14"/>
      </w:rPr>
      <w:fldChar w:fldCharType="separate"/>
    </w:r>
    <w:r>
      <w:rPr>
        <w:rFonts w:ascii="Verdana" w:hAnsi="Verdana" w:cs="Arial"/>
        <w:noProof/>
        <w:sz w:val="12"/>
        <w:szCs w:val="14"/>
      </w:rPr>
      <w:t>2020</w:t>
    </w:r>
    <w:r w:rsidR="00A13D90" w:rsidRPr="00924224">
      <w:rPr>
        <w:rFonts w:ascii="Verdana" w:hAnsi="Verdana" w:cs="Arial"/>
        <w:sz w:val="12"/>
        <w:szCs w:val="14"/>
      </w:rPr>
      <w:fldChar w:fldCharType="end"/>
    </w:r>
    <w:r w:rsidR="00A13D90" w:rsidRPr="00924224">
      <w:rPr>
        <w:rFonts w:ascii="Verdana" w:hAnsi="Verdana" w:cs="Arial"/>
        <w:sz w:val="12"/>
        <w:szCs w:val="14"/>
      </w:rPr>
      <w:t xml:space="preserve">. Please view our </w:t>
    </w:r>
    <w:hyperlink r:id="rId1" w:history="1">
      <w:r w:rsidR="00A13D90" w:rsidRPr="00924224">
        <w:rPr>
          <w:rStyle w:val="Hyperlink"/>
          <w:rFonts w:ascii="Verdana" w:hAnsi="Verdana" w:cs="Arial"/>
          <w:sz w:val="12"/>
          <w:szCs w:val="14"/>
        </w:rPr>
        <w:t>disclaimer</w:t>
      </w:r>
    </w:hyperlink>
    <w:r w:rsidR="00A13D90" w:rsidRPr="00924224">
      <w:rPr>
        <w:rFonts w:ascii="Verdana" w:hAnsi="Verdana" w:cs="Arial"/>
        <w:sz w:val="14"/>
        <w:szCs w:val="14"/>
      </w:rPr>
      <w:t>.</w:t>
    </w:r>
    <w:r w:rsidR="00A13D90" w:rsidRPr="00924224">
      <w:rPr>
        <w:rFonts w:ascii="Verdana" w:hAnsi="Verdana" w:cs="Arial"/>
        <w:b/>
        <w:sz w:val="14"/>
        <w:szCs w:val="14"/>
        <w:lang w:val="en-US"/>
      </w:rPr>
      <w:t xml:space="preserve"> </w:t>
    </w:r>
    <w:r w:rsidR="00A13D90" w:rsidRPr="00924224">
      <w:rPr>
        <w:rFonts w:ascii="Verdana" w:hAnsi="Verdana" w:cs="Arial"/>
        <w:sz w:val="12"/>
        <w:szCs w:val="14"/>
        <w:lang w:val="en-US"/>
      </w:rPr>
      <w:t>QBE</w:t>
    </w:r>
    <w:r w:rsidR="00A13D90" w:rsidRPr="00924224">
      <w:rPr>
        <w:rFonts w:ascii="Verdana" w:hAnsi="Verdana" w:cs="Arial"/>
        <w:sz w:val="14"/>
        <w:szCs w:val="14"/>
        <w:lang w:val="en-US"/>
      </w:rPr>
      <w:t xml:space="preserve"> </w:t>
    </w:r>
    <w:r w:rsidR="00A13D90">
      <w:rPr>
        <w:rFonts w:ascii="Verdana" w:hAnsi="Verdana" w:cs="Arial"/>
        <w:sz w:val="12"/>
        <w:szCs w:val="12"/>
        <w:lang w:val="en-US"/>
      </w:rPr>
      <w:t xml:space="preserve">Risk Solutions </w:t>
    </w:r>
    <w:r w:rsidR="00A13D90" w:rsidRPr="00924224">
      <w:rPr>
        <w:rFonts w:ascii="Verdana" w:hAnsi="Verdana" w:cs="Arial"/>
        <w:sz w:val="12"/>
        <w:szCs w:val="12"/>
      </w:rPr>
      <w:t>Precedent</w:t>
    </w:r>
    <w:r w:rsidR="00A13D90">
      <w:rPr>
        <w:rFonts w:ascii="Verdana" w:hAnsi="Verdana" w:cs="Arial"/>
        <w:sz w:val="12"/>
        <w:szCs w:val="12"/>
        <w:lang w:val="en-US"/>
      </w:rPr>
      <w:t xml:space="preserve"> Documents</w:t>
    </w:r>
    <w:r w:rsidR="00A13D90" w:rsidRPr="00924224">
      <w:rPr>
        <w:rFonts w:ascii="Verdana" w:hAnsi="Verdana"/>
        <w:sz w:val="12"/>
      </w:rPr>
      <w:t xml:space="preserve"> / </w:t>
    </w:r>
    <w:r w:rsidR="00660644">
      <w:rPr>
        <w:rFonts w:ascii="Verdana" w:hAnsi="Verdana"/>
        <w:sz w:val="12"/>
      </w:rPr>
      <w:t>Technical Security Considerations</w:t>
    </w:r>
    <w:r w:rsidR="00A13D90">
      <w:rPr>
        <w:rFonts w:ascii="Verdana" w:hAnsi="Verdana" w:cs="Arial"/>
        <w:sz w:val="12"/>
        <w:szCs w:val="14"/>
        <w:lang w:val="en-US"/>
      </w:rPr>
      <w:t xml:space="preserve"> </w:t>
    </w:r>
    <w:r w:rsidR="00A13D90" w:rsidRPr="00924224">
      <w:rPr>
        <w:rFonts w:ascii="Verdana" w:hAnsi="Verdana" w:cs="Arial"/>
        <w:sz w:val="12"/>
        <w:szCs w:val="14"/>
        <w:lang w:val="en-US"/>
      </w:rPr>
      <w:t xml:space="preserve">/ Page </w:t>
    </w:r>
    <w:r w:rsidR="00A13D90" w:rsidRPr="00924224">
      <w:rPr>
        <w:rFonts w:ascii="Verdana" w:hAnsi="Verdana" w:cs="Arial"/>
        <w:sz w:val="12"/>
        <w:szCs w:val="14"/>
        <w:lang w:val="en-US"/>
      </w:rPr>
      <w:fldChar w:fldCharType="begin"/>
    </w:r>
    <w:r w:rsidR="00A13D90" w:rsidRPr="00924224">
      <w:rPr>
        <w:rFonts w:ascii="Verdana" w:hAnsi="Verdana" w:cs="Arial"/>
        <w:sz w:val="12"/>
        <w:szCs w:val="14"/>
        <w:lang w:val="en-US"/>
      </w:rPr>
      <w:instrText xml:space="preserve"> PAGE  \* Arabic  \* MERGEFORMAT </w:instrText>
    </w:r>
    <w:r w:rsidR="00A13D90" w:rsidRPr="00924224">
      <w:rPr>
        <w:rFonts w:ascii="Verdana" w:hAnsi="Verdana" w:cs="Arial"/>
        <w:sz w:val="12"/>
        <w:szCs w:val="14"/>
        <w:lang w:val="en-US"/>
      </w:rPr>
      <w:fldChar w:fldCharType="separate"/>
    </w:r>
    <w:r w:rsidR="00E31933">
      <w:rPr>
        <w:rFonts w:ascii="Verdana" w:hAnsi="Verdana" w:cs="Arial"/>
        <w:noProof/>
        <w:sz w:val="12"/>
        <w:szCs w:val="14"/>
        <w:lang w:val="en-US"/>
      </w:rPr>
      <w:t>2</w:t>
    </w:r>
    <w:r w:rsidR="00A13D90" w:rsidRPr="00924224">
      <w:rPr>
        <w:rFonts w:ascii="Verdana" w:hAnsi="Verdana" w:cs="Arial"/>
        <w:sz w:val="12"/>
        <w:szCs w:val="14"/>
        <w:lang w:val="en-US"/>
      </w:rPr>
      <w:fldChar w:fldCharType="end"/>
    </w:r>
    <w:r w:rsidR="00A13D90" w:rsidRPr="00924224">
      <w:rPr>
        <w:rFonts w:ascii="Verdana" w:hAnsi="Verdana" w:cs="Arial"/>
        <w:sz w:val="12"/>
        <w:szCs w:val="14"/>
        <w:lang w:val="en-US"/>
      </w:rPr>
      <w:t xml:space="preserve"> of </w:t>
    </w:r>
    <w:r w:rsidR="00A13D90" w:rsidRPr="00924224">
      <w:rPr>
        <w:rFonts w:ascii="Verdana" w:hAnsi="Verdana" w:cs="Arial"/>
        <w:sz w:val="12"/>
        <w:szCs w:val="14"/>
        <w:lang w:val="en-US"/>
      </w:rPr>
      <w:fldChar w:fldCharType="begin"/>
    </w:r>
    <w:r w:rsidR="00A13D90" w:rsidRPr="00924224">
      <w:rPr>
        <w:rFonts w:ascii="Verdana" w:hAnsi="Verdana" w:cs="Arial"/>
        <w:sz w:val="12"/>
        <w:szCs w:val="14"/>
        <w:lang w:val="en-US"/>
      </w:rPr>
      <w:instrText xml:space="preserve"> NUMPAGES  \* Arabic  \* MERGEFORMAT </w:instrText>
    </w:r>
    <w:r w:rsidR="00A13D90" w:rsidRPr="00924224">
      <w:rPr>
        <w:rFonts w:ascii="Verdana" w:hAnsi="Verdana" w:cs="Arial"/>
        <w:sz w:val="12"/>
        <w:szCs w:val="14"/>
        <w:lang w:val="en-US"/>
      </w:rPr>
      <w:fldChar w:fldCharType="separate"/>
    </w:r>
    <w:r w:rsidR="00E31933">
      <w:rPr>
        <w:rFonts w:ascii="Verdana" w:hAnsi="Verdana" w:cs="Arial"/>
        <w:noProof/>
        <w:sz w:val="12"/>
        <w:szCs w:val="14"/>
        <w:lang w:val="en-US"/>
      </w:rPr>
      <w:t>2</w:t>
    </w:r>
    <w:r w:rsidR="00A13D90" w:rsidRPr="00924224">
      <w:rPr>
        <w:rFonts w:ascii="Verdana" w:hAnsi="Verdana" w:cs="Arial"/>
        <w:sz w:val="12"/>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9C3A" w14:textId="50FD91DB" w:rsidR="00A13D90" w:rsidRPr="00E10B8D" w:rsidRDefault="0091512E" w:rsidP="006650A1">
    <w:pPr>
      <w:pStyle w:val="Footer"/>
      <w:pBdr>
        <w:between w:val="single" w:sz="8" w:space="1" w:color="auto"/>
      </w:pBdr>
      <w:tabs>
        <w:tab w:val="clear" w:pos="8306"/>
        <w:tab w:val="left" w:pos="-709"/>
        <w:tab w:val="left" w:pos="1665"/>
        <w:tab w:val="left" w:pos="8931"/>
        <w:tab w:val="right" w:pos="9923"/>
      </w:tabs>
      <w:ind w:left="-426" w:right="-282" w:hanging="141"/>
      <w:rPr>
        <w:rStyle w:val="PageNumber"/>
        <w:rFonts w:cs="Arial"/>
        <w:sz w:val="14"/>
        <w:szCs w:val="14"/>
      </w:rPr>
    </w:pPr>
    <w:r>
      <w:rPr>
        <w:rFonts w:ascii="Verdana" w:hAnsi="Verdana" w:cs="Arial"/>
        <w:b/>
        <w:sz w:val="14"/>
        <w:szCs w:val="14"/>
        <w:lang w:val="en-US"/>
      </w:rPr>
      <w:pict w14:anchorId="042436DF">
        <v:rect id="_x0000_i1029" style="width:552.85pt;height:1pt" o:hralign="center" o:hrstd="t" o:hr="t" fillcolor="#a0a0a0" stroked="f"/>
      </w:pict>
    </w:r>
    <w:r w:rsidR="00A13D90" w:rsidRPr="00924224">
      <w:rPr>
        <w:rFonts w:ascii="Verdana" w:hAnsi="Verdana" w:cs="Arial"/>
        <w:sz w:val="14"/>
        <w:szCs w:val="14"/>
      </w:rPr>
      <w:t xml:space="preserve">© </w:t>
    </w:r>
    <w:r w:rsidR="00A13D90" w:rsidRPr="00924224">
      <w:rPr>
        <w:rFonts w:ascii="Verdana" w:hAnsi="Verdana" w:cs="Arial"/>
        <w:sz w:val="12"/>
        <w:szCs w:val="14"/>
      </w:rPr>
      <w:t xml:space="preserve">QBE Insurance (Europe) Limited </w:t>
    </w:r>
    <w:r w:rsidR="00A13D90" w:rsidRPr="00924224">
      <w:rPr>
        <w:rFonts w:ascii="Verdana" w:hAnsi="Verdana" w:cs="Arial"/>
        <w:sz w:val="12"/>
        <w:szCs w:val="14"/>
      </w:rPr>
      <w:fldChar w:fldCharType="begin"/>
    </w:r>
    <w:r w:rsidR="00A13D90" w:rsidRPr="00924224">
      <w:rPr>
        <w:rFonts w:ascii="Verdana" w:hAnsi="Verdana" w:cs="Arial"/>
        <w:sz w:val="12"/>
        <w:szCs w:val="14"/>
      </w:rPr>
      <w:instrText xml:space="preserve"> TIME  \@ "YYYY"  \* MERGEFORMAT </w:instrText>
    </w:r>
    <w:r w:rsidR="00A13D90" w:rsidRPr="00924224">
      <w:rPr>
        <w:rFonts w:ascii="Verdana" w:hAnsi="Verdana" w:cs="Arial"/>
        <w:sz w:val="12"/>
        <w:szCs w:val="14"/>
      </w:rPr>
      <w:fldChar w:fldCharType="separate"/>
    </w:r>
    <w:r>
      <w:rPr>
        <w:rFonts w:ascii="Verdana" w:hAnsi="Verdana" w:cs="Arial"/>
        <w:noProof/>
        <w:sz w:val="12"/>
        <w:szCs w:val="14"/>
      </w:rPr>
      <w:t>2020</w:t>
    </w:r>
    <w:r w:rsidR="00A13D90" w:rsidRPr="00924224">
      <w:rPr>
        <w:rFonts w:ascii="Verdana" w:hAnsi="Verdana" w:cs="Arial"/>
        <w:sz w:val="12"/>
        <w:szCs w:val="14"/>
      </w:rPr>
      <w:fldChar w:fldCharType="end"/>
    </w:r>
    <w:r w:rsidR="00A13D90" w:rsidRPr="00924224">
      <w:rPr>
        <w:rFonts w:ascii="Verdana" w:hAnsi="Verdana" w:cs="Arial"/>
        <w:sz w:val="12"/>
        <w:szCs w:val="14"/>
      </w:rPr>
      <w:t xml:space="preserve">. Please view our </w:t>
    </w:r>
    <w:hyperlink r:id="rId1" w:history="1">
      <w:r w:rsidR="00A13D90" w:rsidRPr="00924224">
        <w:rPr>
          <w:rStyle w:val="Hyperlink"/>
          <w:rFonts w:ascii="Verdana" w:hAnsi="Verdana" w:cs="Arial"/>
          <w:sz w:val="12"/>
          <w:szCs w:val="14"/>
        </w:rPr>
        <w:t>disclaimer</w:t>
      </w:r>
    </w:hyperlink>
    <w:r w:rsidR="00A13D90" w:rsidRPr="00924224">
      <w:rPr>
        <w:rFonts w:ascii="Verdana" w:hAnsi="Verdana" w:cs="Arial"/>
        <w:sz w:val="14"/>
        <w:szCs w:val="14"/>
      </w:rPr>
      <w:t>.</w:t>
    </w:r>
    <w:r w:rsidR="00A13D90" w:rsidRPr="00924224">
      <w:rPr>
        <w:rFonts w:ascii="Verdana" w:hAnsi="Verdana" w:cs="Arial"/>
        <w:b/>
        <w:sz w:val="14"/>
        <w:szCs w:val="14"/>
        <w:lang w:val="en-US"/>
      </w:rPr>
      <w:t xml:space="preserve"> </w:t>
    </w:r>
    <w:r w:rsidR="00A13D90" w:rsidRPr="00924224">
      <w:rPr>
        <w:rFonts w:ascii="Verdana" w:hAnsi="Verdana" w:cs="Arial"/>
        <w:sz w:val="12"/>
        <w:szCs w:val="14"/>
        <w:lang w:val="en-US"/>
      </w:rPr>
      <w:t>QBE</w:t>
    </w:r>
    <w:r w:rsidR="00A13D90" w:rsidRPr="00924224">
      <w:rPr>
        <w:rFonts w:ascii="Verdana" w:hAnsi="Verdana" w:cs="Arial"/>
        <w:sz w:val="14"/>
        <w:szCs w:val="14"/>
        <w:lang w:val="en-US"/>
      </w:rPr>
      <w:t xml:space="preserve"> </w:t>
    </w:r>
    <w:r w:rsidR="00A13D90">
      <w:rPr>
        <w:rFonts w:ascii="Verdana" w:hAnsi="Verdana" w:cs="Arial"/>
        <w:sz w:val="12"/>
        <w:szCs w:val="12"/>
        <w:lang w:val="en-US"/>
      </w:rPr>
      <w:t xml:space="preserve">Risk Solutions </w:t>
    </w:r>
    <w:r w:rsidR="00A13D90" w:rsidRPr="00924224">
      <w:rPr>
        <w:rFonts w:ascii="Verdana" w:hAnsi="Verdana" w:cs="Arial"/>
        <w:sz w:val="12"/>
        <w:szCs w:val="12"/>
      </w:rPr>
      <w:t>Precedent</w:t>
    </w:r>
    <w:r w:rsidR="00A13D90">
      <w:rPr>
        <w:rFonts w:ascii="Verdana" w:hAnsi="Verdana" w:cs="Arial"/>
        <w:sz w:val="12"/>
        <w:szCs w:val="12"/>
        <w:lang w:val="en-US"/>
      </w:rPr>
      <w:t xml:space="preserve"> Documents</w:t>
    </w:r>
    <w:r w:rsidR="00A13D90" w:rsidRPr="00924224">
      <w:rPr>
        <w:rFonts w:ascii="Verdana" w:hAnsi="Verdana"/>
        <w:sz w:val="12"/>
      </w:rPr>
      <w:t xml:space="preserve"> / </w:t>
    </w:r>
    <w:r w:rsidR="00660644">
      <w:rPr>
        <w:rFonts w:ascii="Verdana" w:hAnsi="Verdana"/>
        <w:sz w:val="12"/>
      </w:rPr>
      <w:t>Technical Security Considerations</w:t>
    </w:r>
    <w:r w:rsidR="00A13D90" w:rsidRPr="00924224">
      <w:rPr>
        <w:rFonts w:ascii="Verdana" w:hAnsi="Verdana" w:cs="Arial"/>
        <w:sz w:val="12"/>
        <w:szCs w:val="14"/>
        <w:lang w:val="en-US"/>
      </w:rPr>
      <w:t xml:space="preserve">/ Page </w:t>
    </w:r>
    <w:r w:rsidR="00A13D90" w:rsidRPr="00924224">
      <w:rPr>
        <w:rFonts w:ascii="Verdana" w:hAnsi="Verdana" w:cs="Arial"/>
        <w:sz w:val="12"/>
        <w:szCs w:val="14"/>
        <w:lang w:val="en-US"/>
      </w:rPr>
      <w:fldChar w:fldCharType="begin"/>
    </w:r>
    <w:r w:rsidR="00A13D90" w:rsidRPr="00924224">
      <w:rPr>
        <w:rFonts w:ascii="Verdana" w:hAnsi="Verdana" w:cs="Arial"/>
        <w:sz w:val="12"/>
        <w:szCs w:val="14"/>
        <w:lang w:val="en-US"/>
      </w:rPr>
      <w:instrText xml:space="preserve"> PAGE  \* Arabic  \* MERGEFORMAT </w:instrText>
    </w:r>
    <w:r w:rsidR="00A13D90" w:rsidRPr="00924224">
      <w:rPr>
        <w:rFonts w:ascii="Verdana" w:hAnsi="Verdana" w:cs="Arial"/>
        <w:sz w:val="12"/>
        <w:szCs w:val="14"/>
        <w:lang w:val="en-US"/>
      </w:rPr>
      <w:fldChar w:fldCharType="separate"/>
    </w:r>
    <w:r w:rsidR="00E31933">
      <w:rPr>
        <w:rFonts w:ascii="Verdana" w:hAnsi="Verdana" w:cs="Arial"/>
        <w:noProof/>
        <w:sz w:val="12"/>
        <w:szCs w:val="14"/>
        <w:lang w:val="en-US"/>
      </w:rPr>
      <w:t>1</w:t>
    </w:r>
    <w:r w:rsidR="00A13D90" w:rsidRPr="00924224">
      <w:rPr>
        <w:rFonts w:ascii="Verdana" w:hAnsi="Verdana" w:cs="Arial"/>
        <w:sz w:val="12"/>
        <w:szCs w:val="14"/>
        <w:lang w:val="en-US"/>
      </w:rPr>
      <w:fldChar w:fldCharType="end"/>
    </w:r>
    <w:r w:rsidR="00A13D90" w:rsidRPr="00924224">
      <w:rPr>
        <w:rFonts w:ascii="Verdana" w:hAnsi="Verdana" w:cs="Arial"/>
        <w:sz w:val="12"/>
        <w:szCs w:val="14"/>
        <w:lang w:val="en-US"/>
      </w:rPr>
      <w:t xml:space="preserve"> of </w:t>
    </w:r>
    <w:r w:rsidR="00A13D90" w:rsidRPr="00924224">
      <w:rPr>
        <w:rFonts w:ascii="Verdana" w:hAnsi="Verdana" w:cs="Arial"/>
        <w:sz w:val="12"/>
        <w:szCs w:val="14"/>
        <w:lang w:val="en-US"/>
      </w:rPr>
      <w:fldChar w:fldCharType="begin"/>
    </w:r>
    <w:r w:rsidR="00A13D90" w:rsidRPr="00924224">
      <w:rPr>
        <w:rFonts w:ascii="Verdana" w:hAnsi="Verdana" w:cs="Arial"/>
        <w:sz w:val="12"/>
        <w:szCs w:val="14"/>
        <w:lang w:val="en-US"/>
      </w:rPr>
      <w:instrText xml:space="preserve"> NUMPAGES  \* Arabic  \* MERGEFORMAT </w:instrText>
    </w:r>
    <w:r w:rsidR="00A13D90" w:rsidRPr="00924224">
      <w:rPr>
        <w:rFonts w:ascii="Verdana" w:hAnsi="Verdana" w:cs="Arial"/>
        <w:sz w:val="12"/>
        <w:szCs w:val="14"/>
        <w:lang w:val="en-US"/>
      </w:rPr>
      <w:fldChar w:fldCharType="separate"/>
    </w:r>
    <w:r w:rsidR="00E31933">
      <w:rPr>
        <w:rFonts w:ascii="Verdana" w:hAnsi="Verdana" w:cs="Arial"/>
        <w:noProof/>
        <w:sz w:val="12"/>
        <w:szCs w:val="14"/>
        <w:lang w:val="en-US"/>
      </w:rPr>
      <w:t>2</w:t>
    </w:r>
    <w:r w:rsidR="00A13D90" w:rsidRPr="00924224">
      <w:rPr>
        <w:rFonts w:ascii="Verdana" w:hAnsi="Verdana" w:cs="Arial"/>
        <w:sz w:val="12"/>
        <w:szCs w:val="14"/>
        <w:lang w:val="en-US"/>
      </w:rPr>
      <w:fldChar w:fldCharType="end"/>
    </w:r>
    <w:r w:rsidR="00A13D90" w:rsidRPr="00924224">
      <w:rPr>
        <w:rFonts w:ascii="Verdana" w:hAnsi="Verdana" w:cs="Arial"/>
        <w:b/>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4DB92" w14:textId="77777777" w:rsidR="00A13D90" w:rsidRDefault="00A13D90">
      <w:r>
        <w:separator/>
      </w:r>
    </w:p>
  </w:footnote>
  <w:footnote w:type="continuationSeparator" w:id="0">
    <w:p w14:paraId="553C836F" w14:textId="77777777" w:rsidR="00A13D90" w:rsidRDefault="00A1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B964" w14:textId="77777777" w:rsidR="00A13D90" w:rsidRDefault="00A13D90" w:rsidP="004B4CBC">
    <w:pPr>
      <w:pStyle w:val="Header"/>
      <w:tabs>
        <w:tab w:val="clear" w:pos="4153"/>
        <w:tab w:val="clear" w:pos="8306"/>
        <w:tab w:val="left" w:pos="28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Ind w:w="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A13D90" w:rsidRPr="00FE68A8" w14:paraId="03A7B150" w14:textId="77777777" w:rsidTr="00AC1CBE">
      <w:trPr>
        <w:trHeight w:val="557"/>
      </w:trPr>
      <w:tc>
        <w:tcPr>
          <w:tcW w:w="2093" w:type="dxa"/>
        </w:tcPr>
        <w:p w14:paraId="2F0B0832" w14:textId="77777777" w:rsidR="00A13D90" w:rsidRDefault="00A13D90" w:rsidP="004B4CBC">
          <w:pPr>
            <w:pStyle w:val="Header"/>
          </w:pPr>
          <w:r w:rsidRPr="00FE68A8">
            <w:rPr>
              <w:noProof/>
              <w:lang w:eastAsia="en-GB"/>
            </w:rPr>
            <w:drawing>
              <wp:anchor distT="0" distB="0" distL="114300" distR="114300" simplePos="0" relativeHeight="251659264" behindDoc="0" locked="0" layoutInCell="1" allowOverlap="1" wp14:anchorId="68288AB2" wp14:editId="765DB636">
                <wp:simplePos x="0" y="0"/>
                <wp:positionH relativeFrom="column">
                  <wp:posOffset>-971550</wp:posOffset>
                </wp:positionH>
                <wp:positionV relativeFrom="paragraph">
                  <wp:posOffset>-340995</wp:posOffset>
                </wp:positionV>
                <wp:extent cx="1143000" cy="1114425"/>
                <wp:effectExtent l="19050" t="0" r="0" b="0"/>
                <wp:wrapNone/>
                <wp:docPr id="1" name="Picture 3" descr="QBE Logo_Vertical_r0g154b228_Final101210 25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BE Logo_Vertical_r0g154b228_Final101210 25 mm.jpg"/>
                        <pic:cNvPicPr>
                          <a:picLocks noChangeAspect="1" noChangeArrowheads="1"/>
                        </pic:cNvPicPr>
                      </pic:nvPicPr>
                      <pic:blipFill>
                        <a:blip r:embed="rId1" cstate="print"/>
                        <a:srcRect b="14359"/>
                        <a:stretch>
                          <a:fillRect/>
                        </a:stretch>
                      </pic:blipFill>
                      <pic:spPr bwMode="auto">
                        <a:xfrm>
                          <a:off x="0" y="0"/>
                          <a:ext cx="1143000" cy="1114425"/>
                        </a:xfrm>
                        <a:prstGeom prst="rect">
                          <a:avLst/>
                        </a:prstGeom>
                        <a:noFill/>
                        <a:ln w="9525">
                          <a:noFill/>
                          <a:miter lim="800000"/>
                          <a:headEnd/>
                          <a:tailEnd/>
                        </a:ln>
                      </pic:spPr>
                    </pic:pic>
                  </a:graphicData>
                </a:graphic>
              </wp:anchor>
            </w:drawing>
          </w:r>
        </w:p>
      </w:tc>
      <w:tc>
        <w:tcPr>
          <w:tcW w:w="7087" w:type="dxa"/>
        </w:tcPr>
        <w:p w14:paraId="554643E6" w14:textId="77777777" w:rsidR="00A13D90" w:rsidRPr="004B4CBC" w:rsidRDefault="00A13D90" w:rsidP="008839B8">
          <w:pPr>
            <w:pStyle w:val="Header"/>
            <w:rPr>
              <w:rFonts w:ascii="Verdana" w:hAnsi="Verdana"/>
              <w:b/>
              <w:sz w:val="24"/>
              <w:szCs w:val="24"/>
              <w:u w:val="single"/>
            </w:rPr>
          </w:pPr>
          <w:r w:rsidRPr="004B4CBC">
            <w:rPr>
              <w:rFonts w:ascii="Verdana" w:hAnsi="Verdana" w:cs="Tahoma"/>
              <w:b/>
              <w:i/>
              <w:sz w:val="24"/>
              <w:szCs w:val="24"/>
              <w:u w:val="single"/>
            </w:rPr>
            <w:t xml:space="preserve">&lt;NAME OF </w:t>
          </w:r>
          <w:r>
            <w:rPr>
              <w:rFonts w:ascii="Verdana" w:hAnsi="Verdana" w:cs="Tahoma"/>
              <w:b/>
              <w:i/>
              <w:sz w:val="24"/>
              <w:szCs w:val="24"/>
              <w:u w:val="single"/>
            </w:rPr>
            <w:t>BUSINESS</w:t>
          </w:r>
          <w:r w:rsidRPr="004B4CBC">
            <w:rPr>
              <w:rFonts w:ascii="Verdana" w:hAnsi="Verdana" w:cs="Tahoma"/>
              <w:b/>
              <w:i/>
              <w:sz w:val="24"/>
              <w:szCs w:val="24"/>
              <w:u w:val="single"/>
            </w:rPr>
            <w:t>&gt;</w:t>
          </w:r>
        </w:p>
      </w:tc>
    </w:tr>
    <w:tr w:rsidR="00A13D90" w:rsidRPr="00FE68A8" w14:paraId="73BAB5B3" w14:textId="77777777" w:rsidTr="00AC1CBE">
      <w:trPr>
        <w:trHeight w:val="560"/>
      </w:trPr>
      <w:tc>
        <w:tcPr>
          <w:tcW w:w="2093" w:type="dxa"/>
        </w:tcPr>
        <w:p w14:paraId="534A0CF9" w14:textId="77777777" w:rsidR="00A13D90" w:rsidRDefault="00A13D90" w:rsidP="004B4CBC">
          <w:pPr>
            <w:pStyle w:val="Header"/>
          </w:pPr>
        </w:p>
      </w:tc>
      <w:tc>
        <w:tcPr>
          <w:tcW w:w="7087" w:type="dxa"/>
        </w:tcPr>
        <w:p w14:paraId="5AE08E2A" w14:textId="77777777" w:rsidR="00A13D90" w:rsidRPr="008839B8" w:rsidRDefault="00A13D90" w:rsidP="008839B8">
          <w:pPr>
            <w:pStyle w:val="Header"/>
            <w:rPr>
              <w:rFonts w:ascii="Verdana" w:hAnsi="Verdana"/>
              <w:i/>
              <w:sz w:val="24"/>
              <w:szCs w:val="24"/>
            </w:rPr>
          </w:pPr>
          <w:r w:rsidRPr="008839B8">
            <w:rPr>
              <w:rFonts w:ascii="Verdana" w:hAnsi="Verdana"/>
              <w:b/>
              <w:sz w:val="24"/>
              <w:szCs w:val="24"/>
              <w:u w:val="single"/>
            </w:rPr>
            <w:t>TECHNICAL SECURITY CONSIDERATIONS</w:t>
          </w:r>
        </w:p>
      </w:tc>
    </w:tr>
  </w:tbl>
  <w:p w14:paraId="5CD98910" w14:textId="77777777" w:rsidR="00A13D90" w:rsidRDefault="00A13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8832CC10"/>
    <w:multiLevelType w:val="hybridMultilevel"/>
    <w:tmpl w:val="0377BF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A38B11"/>
    <w:multiLevelType w:val="hybridMultilevel"/>
    <w:tmpl w:val="003747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FE4015"/>
    <w:multiLevelType w:val="hybridMultilevel"/>
    <w:tmpl w:val="261D9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3211D"/>
    <w:multiLevelType w:val="multilevel"/>
    <w:tmpl w:val="06A896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41552E"/>
    <w:multiLevelType w:val="hybridMultilevel"/>
    <w:tmpl w:val="1F48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446E0"/>
    <w:multiLevelType w:val="multilevel"/>
    <w:tmpl w:val="F6D4E4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4B3F3B"/>
    <w:multiLevelType w:val="hybridMultilevel"/>
    <w:tmpl w:val="EC1456C8"/>
    <w:lvl w:ilvl="0" w:tplc="782A5206">
      <w:start w:val="1"/>
      <w:numFmt w:val="bullet"/>
      <w:lvlText w:val=""/>
      <w:lvlJc w:val="left"/>
      <w:pPr>
        <w:tabs>
          <w:tab w:val="num" w:pos="360"/>
        </w:tabs>
        <w:ind w:left="360" w:hanging="360"/>
      </w:pPr>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98396D"/>
    <w:multiLevelType w:val="hybridMultilevel"/>
    <w:tmpl w:val="B41C0D68"/>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8" w15:restartNumberingAfterBreak="0">
    <w:nsid w:val="14A11039"/>
    <w:multiLevelType w:val="multilevel"/>
    <w:tmpl w:val="97E0013E"/>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D51653A"/>
    <w:multiLevelType w:val="singleLevel"/>
    <w:tmpl w:val="0C32429A"/>
    <w:lvl w:ilvl="0">
      <w:start w:val="1"/>
      <w:numFmt w:val="lowerRoman"/>
      <w:lvlText w:val="%1)"/>
      <w:lvlJc w:val="left"/>
      <w:pPr>
        <w:tabs>
          <w:tab w:val="num" w:pos="1008"/>
        </w:tabs>
        <w:ind w:left="504" w:hanging="216"/>
      </w:pPr>
    </w:lvl>
  </w:abstractNum>
  <w:abstractNum w:abstractNumId="10" w15:restartNumberingAfterBreak="0">
    <w:nsid w:val="1FAE064F"/>
    <w:multiLevelType w:val="singleLevel"/>
    <w:tmpl w:val="9F8E841A"/>
    <w:lvl w:ilvl="0">
      <w:start w:val="1"/>
      <w:numFmt w:val="lowerRoman"/>
      <w:lvlText w:val="%1)"/>
      <w:lvlJc w:val="left"/>
      <w:pPr>
        <w:tabs>
          <w:tab w:val="num" w:pos="1008"/>
        </w:tabs>
        <w:ind w:left="504" w:hanging="216"/>
      </w:pPr>
    </w:lvl>
  </w:abstractNum>
  <w:abstractNum w:abstractNumId="11" w15:restartNumberingAfterBreak="0">
    <w:nsid w:val="297C44AC"/>
    <w:multiLevelType w:val="singleLevel"/>
    <w:tmpl w:val="A2704274"/>
    <w:lvl w:ilvl="0">
      <w:start w:val="1"/>
      <w:numFmt w:val="bullet"/>
      <w:lvlText w:val=""/>
      <w:lvlJc w:val="left"/>
      <w:pPr>
        <w:tabs>
          <w:tab w:val="num" w:pos="360"/>
        </w:tabs>
        <w:ind w:left="357" w:hanging="357"/>
      </w:pPr>
      <w:rPr>
        <w:rFonts w:ascii="Symbol" w:hAnsi="Symbol" w:hint="default"/>
      </w:rPr>
    </w:lvl>
  </w:abstractNum>
  <w:abstractNum w:abstractNumId="12" w15:restartNumberingAfterBreak="0">
    <w:nsid w:val="2C3358EB"/>
    <w:multiLevelType w:val="singleLevel"/>
    <w:tmpl w:val="9F8E841A"/>
    <w:lvl w:ilvl="0">
      <w:start w:val="1"/>
      <w:numFmt w:val="lowerRoman"/>
      <w:lvlText w:val="%1)"/>
      <w:lvlJc w:val="left"/>
      <w:pPr>
        <w:tabs>
          <w:tab w:val="num" w:pos="1008"/>
        </w:tabs>
        <w:ind w:left="504" w:hanging="216"/>
      </w:pPr>
    </w:lvl>
  </w:abstractNum>
  <w:abstractNum w:abstractNumId="13" w15:restartNumberingAfterBreak="0">
    <w:nsid w:val="2F870762"/>
    <w:multiLevelType w:val="singleLevel"/>
    <w:tmpl w:val="0C32429A"/>
    <w:lvl w:ilvl="0">
      <w:start w:val="1"/>
      <w:numFmt w:val="lowerRoman"/>
      <w:lvlText w:val="%1)"/>
      <w:lvlJc w:val="left"/>
      <w:pPr>
        <w:tabs>
          <w:tab w:val="num" w:pos="1008"/>
        </w:tabs>
        <w:ind w:left="504" w:hanging="216"/>
      </w:pPr>
    </w:lvl>
  </w:abstractNum>
  <w:abstractNum w:abstractNumId="14" w15:restartNumberingAfterBreak="0">
    <w:nsid w:val="2FAC17A1"/>
    <w:multiLevelType w:val="multilevel"/>
    <w:tmpl w:val="721046A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35206A"/>
    <w:multiLevelType w:val="singleLevel"/>
    <w:tmpl w:val="A2704274"/>
    <w:lvl w:ilvl="0">
      <w:start w:val="1"/>
      <w:numFmt w:val="bullet"/>
      <w:lvlText w:val=""/>
      <w:lvlJc w:val="left"/>
      <w:pPr>
        <w:tabs>
          <w:tab w:val="num" w:pos="360"/>
        </w:tabs>
        <w:ind w:left="357" w:hanging="357"/>
      </w:pPr>
      <w:rPr>
        <w:rFonts w:ascii="Symbol" w:hAnsi="Symbol" w:hint="default"/>
      </w:rPr>
    </w:lvl>
  </w:abstractNum>
  <w:abstractNum w:abstractNumId="16" w15:restartNumberingAfterBreak="0">
    <w:nsid w:val="315250E4"/>
    <w:multiLevelType w:val="hybridMultilevel"/>
    <w:tmpl w:val="08560884"/>
    <w:lvl w:ilvl="0" w:tplc="782A5206">
      <w:start w:val="1"/>
      <w:numFmt w:val="bullet"/>
      <w:lvlText w:val=""/>
      <w:lvlJc w:val="left"/>
      <w:pPr>
        <w:tabs>
          <w:tab w:val="num" w:pos="360"/>
        </w:tabs>
        <w:ind w:left="360" w:hanging="360"/>
      </w:pPr>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B63BC5"/>
    <w:multiLevelType w:val="singleLevel"/>
    <w:tmpl w:val="A2704274"/>
    <w:lvl w:ilvl="0">
      <w:start w:val="1"/>
      <w:numFmt w:val="bullet"/>
      <w:lvlText w:val=""/>
      <w:lvlJc w:val="left"/>
      <w:pPr>
        <w:tabs>
          <w:tab w:val="num" w:pos="360"/>
        </w:tabs>
        <w:ind w:left="357" w:hanging="357"/>
      </w:pPr>
      <w:rPr>
        <w:rFonts w:ascii="Symbol" w:hAnsi="Symbol" w:hint="default"/>
      </w:rPr>
    </w:lvl>
  </w:abstractNum>
  <w:abstractNum w:abstractNumId="18" w15:restartNumberingAfterBreak="0">
    <w:nsid w:val="32DD105D"/>
    <w:multiLevelType w:val="multilevel"/>
    <w:tmpl w:val="0A0604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05F0A"/>
    <w:multiLevelType w:val="singleLevel"/>
    <w:tmpl w:val="7BB42368"/>
    <w:lvl w:ilvl="0">
      <w:start w:val="1"/>
      <w:numFmt w:val="lowerLetter"/>
      <w:lvlText w:val="%1)"/>
      <w:legacy w:legacy="1" w:legacySpace="0" w:legacyIndent="720"/>
      <w:lvlJc w:val="left"/>
      <w:pPr>
        <w:ind w:left="1440" w:hanging="720"/>
      </w:pPr>
    </w:lvl>
  </w:abstractNum>
  <w:abstractNum w:abstractNumId="20" w15:restartNumberingAfterBreak="0">
    <w:nsid w:val="38294234"/>
    <w:multiLevelType w:val="hybridMultilevel"/>
    <w:tmpl w:val="AB824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801E0"/>
    <w:multiLevelType w:val="multilevel"/>
    <w:tmpl w:val="22CA08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AF15F49"/>
    <w:multiLevelType w:val="hybridMultilevel"/>
    <w:tmpl w:val="87B6C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336C0"/>
    <w:multiLevelType w:val="singleLevel"/>
    <w:tmpl w:val="A2704274"/>
    <w:lvl w:ilvl="0">
      <w:start w:val="1"/>
      <w:numFmt w:val="bullet"/>
      <w:lvlText w:val=""/>
      <w:lvlJc w:val="left"/>
      <w:pPr>
        <w:tabs>
          <w:tab w:val="num" w:pos="360"/>
        </w:tabs>
        <w:ind w:left="357" w:hanging="357"/>
      </w:pPr>
      <w:rPr>
        <w:rFonts w:ascii="Symbol" w:hAnsi="Symbol" w:hint="default"/>
      </w:rPr>
    </w:lvl>
  </w:abstractNum>
  <w:abstractNum w:abstractNumId="24" w15:restartNumberingAfterBreak="0">
    <w:nsid w:val="493C5967"/>
    <w:multiLevelType w:val="hybridMultilevel"/>
    <w:tmpl w:val="CB340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B6052"/>
    <w:multiLevelType w:val="singleLevel"/>
    <w:tmpl w:val="E8885B1A"/>
    <w:lvl w:ilvl="0">
      <w:start w:val="1"/>
      <w:numFmt w:val="lowerLetter"/>
      <w:lvlText w:val="%1)"/>
      <w:legacy w:legacy="1" w:legacySpace="0" w:legacyIndent="283"/>
      <w:lvlJc w:val="left"/>
      <w:pPr>
        <w:ind w:left="1003" w:hanging="283"/>
      </w:pPr>
    </w:lvl>
  </w:abstractNum>
  <w:abstractNum w:abstractNumId="26" w15:restartNumberingAfterBreak="0">
    <w:nsid w:val="4AB01919"/>
    <w:multiLevelType w:val="multilevel"/>
    <w:tmpl w:val="2F18F32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E860BE"/>
    <w:multiLevelType w:val="hybridMultilevel"/>
    <w:tmpl w:val="5C966A78"/>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4C6870A8"/>
    <w:multiLevelType w:val="multilevel"/>
    <w:tmpl w:val="0377BF7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E52EE2"/>
    <w:multiLevelType w:val="multilevel"/>
    <w:tmpl w:val="611ABC3C"/>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A37492D"/>
    <w:multiLevelType w:val="hybridMultilevel"/>
    <w:tmpl w:val="9A482286"/>
    <w:lvl w:ilvl="0" w:tplc="729E79BC">
      <w:start w:val="1"/>
      <w:numFmt w:val="lowerLetter"/>
      <w:lvlText w:val="%1)"/>
      <w:lvlJc w:val="left"/>
      <w:pPr>
        <w:tabs>
          <w:tab w:val="num" w:pos="1135"/>
        </w:tabs>
        <w:ind w:left="1135" w:hanging="360"/>
      </w:pPr>
      <w:rPr>
        <w:rFonts w:ascii="Avenir LT 45 Book" w:hAnsi="Avenir LT 45 Book" w:hint="default"/>
        <w:b w:val="0"/>
        <w:i w:val="0"/>
        <w:sz w:val="17"/>
        <w:szCs w:val="17"/>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151BE9"/>
    <w:multiLevelType w:val="hybridMultilevel"/>
    <w:tmpl w:val="CB10A51C"/>
    <w:lvl w:ilvl="0" w:tplc="782A5206">
      <w:start w:val="1"/>
      <w:numFmt w:val="bullet"/>
      <w:lvlText w:val=""/>
      <w:lvlJc w:val="left"/>
      <w:pPr>
        <w:tabs>
          <w:tab w:val="num" w:pos="360"/>
        </w:tabs>
        <w:ind w:left="360" w:hanging="360"/>
      </w:pPr>
      <w:rPr>
        <w:rFonts w:ascii="Symbol" w:hAnsi="Symbol" w:hint="default"/>
        <w:b w:val="0"/>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CA03A0"/>
    <w:multiLevelType w:val="hybridMultilevel"/>
    <w:tmpl w:val="6C383228"/>
    <w:lvl w:ilvl="0" w:tplc="782A5206">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4E067D"/>
    <w:multiLevelType w:val="hybridMultilevel"/>
    <w:tmpl w:val="3D3D66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0221E0D"/>
    <w:multiLevelType w:val="singleLevel"/>
    <w:tmpl w:val="0C32429A"/>
    <w:lvl w:ilvl="0">
      <w:start w:val="1"/>
      <w:numFmt w:val="lowerRoman"/>
      <w:lvlText w:val="%1)"/>
      <w:lvlJc w:val="left"/>
      <w:pPr>
        <w:tabs>
          <w:tab w:val="num" w:pos="1008"/>
        </w:tabs>
        <w:ind w:left="504" w:hanging="216"/>
      </w:pPr>
    </w:lvl>
  </w:abstractNum>
  <w:abstractNum w:abstractNumId="35" w15:restartNumberingAfterBreak="0">
    <w:nsid w:val="72880C24"/>
    <w:multiLevelType w:val="singleLevel"/>
    <w:tmpl w:val="9F8E841A"/>
    <w:lvl w:ilvl="0">
      <w:start w:val="1"/>
      <w:numFmt w:val="lowerRoman"/>
      <w:lvlText w:val="%1)"/>
      <w:lvlJc w:val="left"/>
      <w:pPr>
        <w:tabs>
          <w:tab w:val="num" w:pos="1008"/>
        </w:tabs>
        <w:ind w:left="504" w:hanging="216"/>
      </w:pPr>
    </w:lvl>
  </w:abstractNum>
  <w:abstractNum w:abstractNumId="36" w15:restartNumberingAfterBreak="0">
    <w:nsid w:val="72AB5799"/>
    <w:multiLevelType w:val="singleLevel"/>
    <w:tmpl w:val="0C32429A"/>
    <w:lvl w:ilvl="0">
      <w:start w:val="1"/>
      <w:numFmt w:val="lowerRoman"/>
      <w:lvlText w:val="%1)"/>
      <w:lvlJc w:val="left"/>
      <w:pPr>
        <w:tabs>
          <w:tab w:val="num" w:pos="1008"/>
        </w:tabs>
        <w:ind w:left="504" w:hanging="216"/>
      </w:pPr>
    </w:lvl>
  </w:abstractNum>
  <w:abstractNum w:abstractNumId="37" w15:restartNumberingAfterBreak="0">
    <w:nsid w:val="74F65D62"/>
    <w:multiLevelType w:val="multilevel"/>
    <w:tmpl w:val="01FA1172"/>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6877574"/>
    <w:multiLevelType w:val="hybridMultilevel"/>
    <w:tmpl w:val="74509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A6E69"/>
    <w:multiLevelType w:val="hybridMultilevel"/>
    <w:tmpl w:val="140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4083D"/>
    <w:multiLevelType w:val="multilevel"/>
    <w:tmpl w:val="69043C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3F1CF1"/>
    <w:multiLevelType w:val="singleLevel"/>
    <w:tmpl w:val="A2704274"/>
    <w:lvl w:ilvl="0">
      <w:start w:val="1"/>
      <w:numFmt w:val="bullet"/>
      <w:lvlText w:val=""/>
      <w:lvlJc w:val="left"/>
      <w:pPr>
        <w:tabs>
          <w:tab w:val="num" w:pos="360"/>
        </w:tabs>
        <w:ind w:left="357" w:hanging="357"/>
      </w:pPr>
      <w:rPr>
        <w:rFonts w:ascii="Symbol" w:hAnsi="Symbol" w:hint="default"/>
      </w:rPr>
    </w:lvl>
  </w:abstractNum>
  <w:abstractNum w:abstractNumId="42" w15:restartNumberingAfterBreak="0">
    <w:nsid w:val="7E445346"/>
    <w:multiLevelType w:val="multilevel"/>
    <w:tmpl w:val="C71CF61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287AEF"/>
    <w:multiLevelType w:val="singleLevel"/>
    <w:tmpl w:val="A2704274"/>
    <w:lvl w:ilvl="0">
      <w:start w:val="1"/>
      <w:numFmt w:val="bullet"/>
      <w:lvlText w:val=""/>
      <w:lvlJc w:val="left"/>
      <w:pPr>
        <w:tabs>
          <w:tab w:val="num" w:pos="360"/>
        </w:tabs>
        <w:ind w:left="357" w:hanging="357"/>
      </w:pPr>
      <w:rPr>
        <w:rFonts w:ascii="Symbol" w:hAnsi="Symbol" w:hint="default"/>
      </w:rPr>
    </w:lvl>
  </w:abstractNum>
  <w:abstractNum w:abstractNumId="44" w15:restartNumberingAfterBreak="0">
    <w:nsid w:val="7FE4322C"/>
    <w:multiLevelType w:val="singleLevel"/>
    <w:tmpl w:val="A2704274"/>
    <w:lvl w:ilvl="0">
      <w:start w:val="1"/>
      <w:numFmt w:val="bullet"/>
      <w:lvlText w:val=""/>
      <w:lvlJc w:val="left"/>
      <w:pPr>
        <w:tabs>
          <w:tab w:val="num" w:pos="360"/>
        </w:tabs>
        <w:ind w:left="357" w:hanging="357"/>
      </w:pPr>
      <w:rPr>
        <w:rFonts w:ascii="Symbol" w:hAnsi="Symbol" w:hint="default"/>
      </w:rPr>
    </w:lvl>
  </w:abstractNum>
  <w:num w:numId="1">
    <w:abstractNumId w:val="25"/>
  </w:num>
  <w:num w:numId="2">
    <w:abstractNumId w:val="19"/>
  </w:num>
  <w:num w:numId="3">
    <w:abstractNumId w:val="26"/>
  </w:num>
  <w:num w:numId="4">
    <w:abstractNumId w:val="8"/>
  </w:num>
  <w:num w:numId="5">
    <w:abstractNumId w:val="21"/>
  </w:num>
  <w:num w:numId="6">
    <w:abstractNumId w:val="42"/>
  </w:num>
  <w:num w:numId="7">
    <w:abstractNumId w:val="3"/>
  </w:num>
  <w:num w:numId="8">
    <w:abstractNumId w:val="41"/>
  </w:num>
  <w:num w:numId="9">
    <w:abstractNumId w:val="43"/>
  </w:num>
  <w:num w:numId="10">
    <w:abstractNumId w:val="40"/>
  </w:num>
  <w:num w:numId="11">
    <w:abstractNumId w:val="23"/>
  </w:num>
  <w:num w:numId="12">
    <w:abstractNumId w:val="17"/>
  </w:num>
  <w:num w:numId="13">
    <w:abstractNumId w:val="11"/>
  </w:num>
  <w:num w:numId="14">
    <w:abstractNumId w:val="14"/>
  </w:num>
  <w:num w:numId="15">
    <w:abstractNumId w:val="15"/>
  </w:num>
  <w:num w:numId="16">
    <w:abstractNumId w:val="29"/>
  </w:num>
  <w:num w:numId="17">
    <w:abstractNumId w:val="44"/>
  </w:num>
  <w:num w:numId="18">
    <w:abstractNumId w:val="34"/>
  </w:num>
  <w:num w:numId="19">
    <w:abstractNumId w:val="9"/>
  </w:num>
  <w:num w:numId="20">
    <w:abstractNumId w:val="13"/>
  </w:num>
  <w:num w:numId="21">
    <w:abstractNumId w:val="36"/>
  </w:num>
  <w:num w:numId="22">
    <w:abstractNumId w:val="10"/>
  </w:num>
  <w:num w:numId="23">
    <w:abstractNumId w:val="12"/>
  </w:num>
  <w:num w:numId="24">
    <w:abstractNumId w:val="35"/>
  </w:num>
  <w:num w:numId="25">
    <w:abstractNumId w:val="37"/>
  </w:num>
  <w:num w:numId="26">
    <w:abstractNumId w:val="33"/>
  </w:num>
  <w:num w:numId="27">
    <w:abstractNumId w:val="0"/>
  </w:num>
  <w:num w:numId="28">
    <w:abstractNumId w:val="2"/>
  </w:num>
  <w:num w:numId="29">
    <w:abstractNumId w:val="1"/>
  </w:num>
  <w:num w:numId="30">
    <w:abstractNumId w:val="28"/>
  </w:num>
  <w:num w:numId="31">
    <w:abstractNumId w:val="16"/>
  </w:num>
  <w:num w:numId="32">
    <w:abstractNumId w:val="6"/>
  </w:num>
  <w:num w:numId="33">
    <w:abstractNumId w:val="18"/>
  </w:num>
  <w:num w:numId="34">
    <w:abstractNumId w:val="30"/>
  </w:num>
  <w:num w:numId="35">
    <w:abstractNumId w:val="5"/>
  </w:num>
  <w:num w:numId="36">
    <w:abstractNumId w:val="31"/>
  </w:num>
  <w:num w:numId="37">
    <w:abstractNumId w:val="32"/>
  </w:num>
  <w:num w:numId="38">
    <w:abstractNumId w:val="4"/>
  </w:num>
  <w:num w:numId="39">
    <w:abstractNumId w:val="39"/>
  </w:num>
  <w:num w:numId="40">
    <w:abstractNumId w:val="24"/>
  </w:num>
  <w:num w:numId="41">
    <w:abstractNumId w:val="27"/>
  </w:num>
  <w:num w:numId="42">
    <w:abstractNumId w:val="7"/>
  </w:num>
  <w:num w:numId="43">
    <w:abstractNumId w:val="20"/>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CA1"/>
    <w:rsid w:val="000064FD"/>
    <w:rsid w:val="00035329"/>
    <w:rsid w:val="0005765E"/>
    <w:rsid w:val="00076B35"/>
    <w:rsid w:val="000A1776"/>
    <w:rsid w:val="000E29E4"/>
    <w:rsid w:val="00113775"/>
    <w:rsid w:val="001372ED"/>
    <w:rsid w:val="00141B9A"/>
    <w:rsid w:val="001661B8"/>
    <w:rsid w:val="001D5296"/>
    <w:rsid w:val="0024283B"/>
    <w:rsid w:val="002625C6"/>
    <w:rsid w:val="002804FC"/>
    <w:rsid w:val="00295F3B"/>
    <w:rsid w:val="002A6935"/>
    <w:rsid w:val="002B2568"/>
    <w:rsid w:val="002E3CD4"/>
    <w:rsid w:val="002E7B8F"/>
    <w:rsid w:val="003D1DEF"/>
    <w:rsid w:val="003D64F7"/>
    <w:rsid w:val="004251A7"/>
    <w:rsid w:val="00463574"/>
    <w:rsid w:val="004965D8"/>
    <w:rsid w:val="004B4CBC"/>
    <w:rsid w:val="004D74A8"/>
    <w:rsid w:val="00530987"/>
    <w:rsid w:val="005413CB"/>
    <w:rsid w:val="00552F6F"/>
    <w:rsid w:val="00577249"/>
    <w:rsid w:val="00577E60"/>
    <w:rsid w:val="005B6833"/>
    <w:rsid w:val="005C09FA"/>
    <w:rsid w:val="0061133D"/>
    <w:rsid w:val="0061282D"/>
    <w:rsid w:val="0065556E"/>
    <w:rsid w:val="00660644"/>
    <w:rsid w:val="006650A1"/>
    <w:rsid w:val="00672B78"/>
    <w:rsid w:val="00677048"/>
    <w:rsid w:val="006C1204"/>
    <w:rsid w:val="006F5AD3"/>
    <w:rsid w:val="006F6AEB"/>
    <w:rsid w:val="0073308B"/>
    <w:rsid w:val="00750F11"/>
    <w:rsid w:val="007638CA"/>
    <w:rsid w:val="00772346"/>
    <w:rsid w:val="007A58FE"/>
    <w:rsid w:val="007C1D69"/>
    <w:rsid w:val="007C1DD1"/>
    <w:rsid w:val="007D35B2"/>
    <w:rsid w:val="007D787B"/>
    <w:rsid w:val="007F1CAC"/>
    <w:rsid w:val="00822CD9"/>
    <w:rsid w:val="008357D6"/>
    <w:rsid w:val="008839B8"/>
    <w:rsid w:val="00887820"/>
    <w:rsid w:val="00894927"/>
    <w:rsid w:val="008A57E9"/>
    <w:rsid w:val="008C0CA2"/>
    <w:rsid w:val="008D1A0E"/>
    <w:rsid w:val="008F10D1"/>
    <w:rsid w:val="0091512E"/>
    <w:rsid w:val="00942126"/>
    <w:rsid w:val="009632DB"/>
    <w:rsid w:val="009B3BB8"/>
    <w:rsid w:val="009D7162"/>
    <w:rsid w:val="00A02B1D"/>
    <w:rsid w:val="00A13D90"/>
    <w:rsid w:val="00A30218"/>
    <w:rsid w:val="00A75489"/>
    <w:rsid w:val="00AC1CBE"/>
    <w:rsid w:val="00AC4021"/>
    <w:rsid w:val="00AF00A5"/>
    <w:rsid w:val="00B02F3B"/>
    <w:rsid w:val="00B47D1C"/>
    <w:rsid w:val="00B62767"/>
    <w:rsid w:val="00B679BC"/>
    <w:rsid w:val="00B7765B"/>
    <w:rsid w:val="00BA064C"/>
    <w:rsid w:val="00BA6F4A"/>
    <w:rsid w:val="00BC00F0"/>
    <w:rsid w:val="00BD2EA4"/>
    <w:rsid w:val="00C350DD"/>
    <w:rsid w:val="00C63FA5"/>
    <w:rsid w:val="00C74D3C"/>
    <w:rsid w:val="00CC347B"/>
    <w:rsid w:val="00CD415E"/>
    <w:rsid w:val="00D058CD"/>
    <w:rsid w:val="00D61FDA"/>
    <w:rsid w:val="00D66C0D"/>
    <w:rsid w:val="00DA7709"/>
    <w:rsid w:val="00DB0AE8"/>
    <w:rsid w:val="00DC2A2E"/>
    <w:rsid w:val="00E16BB4"/>
    <w:rsid w:val="00E227EC"/>
    <w:rsid w:val="00E31933"/>
    <w:rsid w:val="00E323A9"/>
    <w:rsid w:val="00E901A7"/>
    <w:rsid w:val="00E90CA1"/>
    <w:rsid w:val="00EA1681"/>
    <w:rsid w:val="00EB206C"/>
    <w:rsid w:val="00EB7DB0"/>
    <w:rsid w:val="00EC4840"/>
    <w:rsid w:val="00F045A8"/>
    <w:rsid w:val="00F11F2D"/>
    <w:rsid w:val="00F15C89"/>
    <w:rsid w:val="00F46319"/>
    <w:rsid w:val="00F61E66"/>
    <w:rsid w:val="00F85139"/>
    <w:rsid w:val="00F96152"/>
    <w:rsid w:val="00FB4FE8"/>
    <w:rsid w:val="00FF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B898319"/>
  <w15:docId w15:val="{8EF02573-8901-437D-88C9-10C8D4AF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1A7"/>
    <w:rPr>
      <w:rFonts w:ascii="Arial" w:hAnsi="Arial"/>
      <w:lang w:eastAsia="en-US"/>
    </w:rPr>
  </w:style>
  <w:style w:type="paragraph" w:styleId="Heading1">
    <w:name w:val="heading 1"/>
    <w:basedOn w:val="Normal"/>
    <w:next w:val="Normal"/>
    <w:qFormat/>
    <w:rsid w:val="00E901A7"/>
    <w:pPr>
      <w:keepNext/>
      <w:tabs>
        <w:tab w:val="left" w:pos="9923"/>
      </w:tabs>
      <w:ind w:left="720" w:right="-282"/>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1A7"/>
    <w:pPr>
      <w:tabs>
        <w:tab w:val="center" w:pos="4153"/>
        <w:tab w:val="right" w:pos="8306"/>
      </w:tabs>
    </w:pPr>
  </w:style>
  <w:style w:type="paragraph" w:styleId="Footer">
    <w:name w:val="footer"/>
    <w:basedOn w:val="Normal"/>
    <w:link w:val="FooterChar"/>
    <w:rsid w:val="00E901A7"/>
    <w:pPr>
      <w:tabs>
        <w:tab w:val="center" w:pos="4153"/>
        <w:tab w:val="right" w:pos="8306"/>
      </w:tabs>
    </w:pPr>
  </w:style>
  <w:style w:type="paragraph" w:styleId="Title">
    <w:name w:val="Title"/>
    <w:basedOn w:val="Normal"/>
    <w:qFormat/>
    <w:rsid w:val="00E901A7"/>
    <w:pPr>
      <w:jc w:val="center"/>
    </w:pPr>
    <w:rPr>
      <w:b/>
    </w:rPr>
  </w:style>
  <w:style w:type="paragraph" w:styleId="BodyTextIndent">
    <w:name w:val="Body Text Indent"/>
    <w:basedOn w:val="Normal"/>
    <w:rsid w:val="00E901A7"/>
    <w:pPr>
      <w:ind w:left="720" w:hanging="720"/>
      <w:jc w:val="both"/>
    </w:pPr>
  </w:style>
  <w:style w:type="paragraph" w:styleId="BodyTextIndent2">
    <w:name w:val="Body Text Indent 2"/>
    <w:basedOn w:val="Normal"/>
    <w:rsid w:val="00E901A7"/>
    <w:pPr>
      <w:ind w:left="709" w:hanging="709"/>
      <w:jc w:val="both"/>
    </w:pPr>
    <w:rPr>
      <w:rFonts w:ascii="Tahoma" w:hAnsi="Tahoma"/>
      <w:sz w:val="22"/>
    </w:rPr>
  </w:style>
  <w:style w:type="character" w:styleId="PageNumber">
    <w:name w:val="page number"/>
    <w:basedOn w:val="DefaultParagraphFont"/>
    <w:rsid w:val="00E901A7"/>
  </w:style>
  <w:style w:type="paragraph" w:styleId="BlockText">
    <w:name w:val="Block Text"/>
    <w:basedOn w:val="Normal"/>
    <w:rsid w:val="00E901A7"/>
    <w:pPr>
      <w:tabs>
        <w:tab w:val="left" w:pos="9639"/>
      </w:tabs>
      <w:ind w:left="720" w:right="2"/>
      <w:jc w:val="both"/>
    </w:pPr>
    <w:rPr>
      <w:rFonts w:ascii="Tahoma" w:hAnsi="Tahoma"/>
    </w:rPr>
  </w:style>
  <w:style w:type="paragraph" w:styleId="BodyText">
    <w:name w:val="Body Text"/>
    <w:basedOn w:val="Normal"/>
    <w:rsid w:val="00E901A7"/>
    <w:pPr>
      <w:tabs>
        <w:tab w:val="left" w:pos="9923"/>
      </w:tabs>
      <w:ind w:right="-282"/>
    </w:pPr>
    <w:rPr>
      <w:rFonts w:ascii="Tahoma" w:hAnsi="Tahoma"/>
    </w:rPr>
  </w:style>
  <w:style w:type="paragraph" w:customStyle="1" w:styleId="Default">
    <w:name w:val="Default"/>
    <w:rsid w:val="00E90CA1"/>
    <w:pPr>
      <w:autoSpaceDE w:val="0"/>
      <w:autoSpaceDN w:val="0"/>
      <w:adjustRightInd w:val="0"/>
    </w:pPr>
    <w:rPr>
      <w:color w:val="000000"/>
      <w:sz w:val="24"/>
      <w:szCs w:val="24"/>
    </w:rPr>
  </w:style>
  <w:style w:type="paragraph" w:customStyle="1" w:styleId="NormalWeb1">
    <w:name w:val="Normal (Web)1"/>
    <w:basedOn w:val="Normal"/>
    <w:rsid w:val="009D7162"/>
    <w:pPr>
      <w:spacing w:before="240" w:after="240"/>
    </w:pPr>
    <w:rPr>
      <w:rFonts w:ascii="Times New Roman" w:hAnsi="Times New Roman"/>
      <w:sz w:val="24"/>
      <w:szCs w:val="24"/>
      <w:lang w:eastAsia="en-GB"/>
    </w:rPr>
  </w:style>
  <w:style w:type="paragraph" w:customStyle="1" w:styleId="Heading41">
    <w:name w:val="Heading 41"/>
    <w:basedOn w:val="Normal"/>
    <w:rsid w:val="009D7162"/>
    <w:pPr>
      <w:spacing w:before="199" w:after="199"/>
      <w:outlineLvl w:val="4"/>
    </w:pPr>
    <w:rPr>
      <w:rFonts w:cs="Arial"/>
      <w:b/>
      <w:bCs/>
      <w:color w:val="B20838"/>
      <w:sz w:val="30"/>
      <w:szCs w:val="30"/>
      <w:lang w:eastAsia="en-GB"/>
    </w:rPr>
  </w:style>
  <w:style w:type="character" w:customStyle="1" w:styleId="num2">
    <w:name w:val="num2"/>
    <w:basedOn w:val="DefaultParagraphFont"/>
    <w:rsid w:val="009D7162"/>
    <w:rPr>
      <w:bdr w:val="single" w:sz="6" w:space="12" w:color="DDDDDD" w:frame="1"/>
    </w:rPr>
  </w:style>
  <w:style w:type="character" w:styleId="Hyperlink">
    <w:name w:val="Hyperlink"/>
    <w:basedOn w:val="DefaultParagraphFont"/>
    <w:rsid w:val="00DC2A2E"/>
    <w:rPr>
      <w:color w:val="0000FF"/>
      <w:u w:val="single"/>
    </w:rPr>
  </w:style>
  <w:style w:type="table" w:styleId="TableGrid">
    <w:name w:val="Table Grid"/>
    <w:basedOn w:val="TableNormal"/>
    <w:uiPriority w:val="39"/>
    <w:rsid w:val="004B4C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0987"/>
    <w:pPr>
      <w:widowControl w:val="0"/>
      <w:ind w:left="720"/>
    </w:pPr>
    <w:rPr>
      <w:rFonts w:ascii="Times New Roman" w:hAnsi="Times New Roman"/>
      <w:lang w:eastAsia="en-GB"/>
    </w:rPr>
  </w:style>
  <w:style w:type="character" w:styleId="Strong">
    <w:name w:val="Strong"/>
    <w:basedOn w:val="DefaultParagraphFont"/>
    <w:uiPriority w:val="22"/>
    <w:qFormat/>
    <w:rsid w:val="00530987"/>
    <w:rPr>
      <w:b/>
      <w:bCs/>
    </w:rPr>
  </w:style>
  <w:style w:type="paragraph" w:styleId="BalloonText">
    <w:name w:val="Balloon Text"/>
    <w:basedOn w:val="Normal"/>
    <w:link w:val="BalloonTextChar"/>
    <w:uiPriority w:val="99"/>
    <w:semiHidden/>
    <w:unhideWhenUsed/>
    <w:rsid w:val="00552F6F"/>
    <w:rPr>
      <w:rFonts w:ascii="Tahoma" w:hAnsi="Tahoma" w:cs="Tahoma"/>
      <w:sz w:val="16"/>
      <w:szCs w:val="16"/>
    </w:rPr>
  </w:style>
  <w:style w:type="character" w:customStyle="1" w:styleId="BalloonTextChar">
    <w:name w:val="Balloon Text Char"/>
    <w:basedOn w:val="DefaultParagraphFont"/>
    <w:link w:val="BalloonText"/>
    <w:uiPriority w:val="99"/>
    <w:semiHidden/>
    <w:rsid w:val="00552F6F"/>
    <w:rPr>
      <w:rFonts w:ascii="Tahoma" w:hAnsi="Tahoma" w:cs="Tahoma"/>
      <w:sz w:val="16"/>
      <w:szCs w:val="16"/>
      <w:lang w:eastAsia="en-US"/>
    </w:rPr>
  </w:style>
  <w:style w:type="character" w:customStyle="1" w:styleId="FooterChar">
    <w:name w:val="Footer Char"/>
    <w:link w:val="Footer"/>
    <w:rsid w:val="006650A1"/>
    <w:rPr>
      <w:rFonts w:ascii="Arial" w:hAnsi="Arial"/>
      <w:lang w:eastAsia="en-US"/>
    </w:rPr>
  </w:style>
  <w:style w:type="character" w:styleId="FollowedHyperlink">
    <w:name w:val="FollowedHyperlink"/>
    <w:basedOn w:val="DefaultParagraphFont"/>
    <w:uiPriority w:val="99"/>
    <w:semiHidden/>
    <w:unhideWhenUsed/>
    <w:rsid w:val="00660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00525">
      <w:bodyDiv w:val="1"/>
      <w:marLeft w:val="0"/>
      <w:marRight w:val="0"/>
      <w:marTop w:val="0"/>
      <w:marBottom w:val="0"/>
      <w:divBdr>
        <w:top w:val="none" w:sz="0" w:space="0" w:color="auto"/>
        <w:left w:val="none" w:sz="0" w:space="0" w:color="auto"/>
        <w:bottom w:val="none" w:sz="0" w:space="0" w:color="auto"/>
        <w:right w:val="none" w:sz="0" w:space="0" w:color="auto"/>
      </w:divBdr>
      <w:divsChild>
        <w:div w:id="1026904371">
          <w:marLeft w:val="60"/>
          <w:marRight w:val="300"/>
          <w:marTop w:val="150"/>
          <w:marBottom w:val="300"/>
          <w:divBdr>
            <w:top w:val="none" w:sz="0" w:space="0" w:color="auto"/>
            <w:left w:val="none" w:sz="0" w:space="0" w:color="auto"/>
            <w:bottom w:val="none" w:sz="0" w:space="0" w:color="auto"/>
            <w:right w:val="none" w:sz="0" w:space="0" w:color="auto"/>
          </w:divBdr>
          <w:divsChild>
            <w:div w:id="1516000777">
              <w:marLeft w:val="0"/>
              <w:marRight w:val="0"/>
              <w:marTop w:val="0"/>
              <w:marBottom w:val="288"/>
              <w:divBdr>
                <w:top w:val="single" w:sz="6" w:space="12" w:color="DDDDDD"/>
                <w:left w:val="single" w:sz="6" w:space="12" w:color="DDDDDD"/>
                <w:bottom w:val="single" w:sz="6" w:space="12" w:color="DDDDDD"/>
                <w:right w:val="single" w:sz="6" w:space="12" w:color="DDDDDD"/>
              </w:divBdr>
              <w:divsChild>
                <w:div w:id="1697348706">
                  <w:marLeft w:val="0"/>
                  <w:marRight w:val="0"/>
                  <w:marTop w:val="0"/>
                  <w:marBottom w:val="288"/>
                  <w:divBdr>
                    <w:top w:val="single" w:sz="6" w:space="12" w:color="DDDDDD"/>
                    <w:left w:val="single" w:sz="6" w:space="12" w:color="DDDDDD"/>
                    <w:bottom w:val="single" w:sz="6" w:space="12" w:color="DDDDDD"/>
                    <w:right w:val="single" w:sz="6" w:space="12"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tls-external-facing-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sc.gov.uk/guidance/using-ipsec-protect-da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beeurope.com/professional-financial/br-quality-assurance.a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qbeeurope.com/professional-financial/br-quality-assuranc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Whistle Blowing Policy</vt:lpstr>
    </vt:vector>
  </TitlesOfParts>
  <Company>QBE Europe</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Blowing Policy</dc:title>
  <dc:subject>Int'l Sols Whistle Blowing</dc:subject>
  <dc:creator>QBE FSM RS</dc:creator>
  <cp:keywords>Whistle Blowing</cp:keywords>
  <dc:description>Formatting changes made to create consistency across precedent documents_x000d_
Rewording of all text to removed reference to uk legiislative requirements and SRA  requirements._x000d_
v1.2 Formatting changes made to create consistency across precedent documents</dc:description>
  <cp:lastModifiedBy>Jaini Gudhka</cp:lastModifiedBy>
  <cp:revision>5</cp:revision>
  <cp:lastPrinted>2013-04-24T15:24:00Z</cp:lastPrinted>
  <dcterms:created xsi:type="dcterms:W3CDTF">2020-03-16T18:09:00Z</dcterms:created>
  <dcterms:modified xsi:type="dcterms:W3CDTF">2020-03-17T15:32:00Z</dcterms:modified>
  <cp:category>International</cp:category>
  <cp:contentStatus>v1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115596368</vt:i4>
  </property>
  <property fmtid="{D5CDD505-2E9C-101B-9397-08002B2CF9AE}" pid="3" name="_NewReviewCycle">
    <vt:lpwstr/>
  </property>
  <property fmtid="{D5CDD505-2E9C-101B-9397-08002B2CF9AE}" pid="4" name="_EmailSubject">
    <vt:lpwstr>CMS Document Update</vt:lpwstr>
  </property>
  <property fmtid="{D5CDD505-2E9C-101B-9397-08002B2CF9AE}" pid="5" name="_AuthorEmail">
    <vt:lpwstr>doriordan@qbe-europe.com</vt:lpwstr>
  </property>
  <property fmtid="{D5CDD505-2E9C-101B-9397-08002B2CF9AE}" pid="6" name="_AuthorEmailDisplayName">
    <vt:lpwstr>Deborah O'Riordan</vt:lpwstr>
  </property>
  <property fmtid="{D5CDD505-2E9C-101B-9397-08002B2CF9AE}" pid="7" name="_PreviousAdHocReviewCycleID">
    <vt:i4>-282700452</vt:i4>
  </property>
  <property fmtid="{D5CDD505-2E9C-101B-9397-08002B2CF9AE}" pid="8" name="_ReviewingToolsShownOnce">
    <vt:lpwstr/>
  </property>
</Properties>
</file>